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644D550" w14:textId="77777777" w:rsidR="00360BE3" w:rsidRDefault="00360BE3" w:rsidP="00283EF6">
      <w:pPr>
        <w:pStyle w:val="TitleJIP"/>
        <w:jc w:val="center"/>
      </w:pPr>
    </w:p>
    <w:p w14:paraId="39B82372" w14:textId="5EF0643F" w:rsidR="001D3718" w:rsidRDefault="00531785" w:rsidP="00283EF6">
      <w:pPr>
        <w:pStyle w:val="TitleJIP"/>
        <w:jc w:val="center"/>
      </w:pPr>
      <w:r w:rsidRPr="00531785">
        <w:t>The Petronas Twin Towers as a Symbol of Malaysian Geopolitics and a Learning Resource in Geography Education</w:t>
      </w:r>
    </w:p>
    <w:p w14:paraId="6E986F3F" w14:textId="77777777" w:rsidR="00317CA4" w:rsidRPr="00317CA4" w:rsidRDefault="00317CA4" w:rsidP="00317CA4">
      <w:pPr>
        <w:pStyle w:val="Author"/>
      </w:pPr>
      <w:r w:rsidRPr="00317CA4">
        <w:rPr>
          <w:lang w:val="id-ID"/>
        </w:rPr>
        <w:t>Novri Silfani</w:t>
      </w:r>
      <w:r w:rsidRPr="00317CA4">
        <w:rPr>
          <w:vertAlign w:val="superscript"/>
          <w:lang w:val="id-ID"/>
        </w:rPr>
        <w:t>1</w:t>
      </w:r>
      <w:r w:rsidRPr="00317CA4">
        <w:rPr>
          <w:lang w:val="id-ID"/>
        </w:rPr>
        <w:t>, Syafri Anwar</w:t>
      </w:r>
      <w:r w:rsidRPr="00317CA4">
        <w:rPr>
          <w:vertAlign w:val="superscript"/>
          <w:lang w:val="id-ID"/>
        </w:rPr>
        <w:t>1</w:t>
      </w:r>
      <w:r w:rsidRPr="00317CA4">
        <w:rPr>
          <w:lang w:val="id-ID"/>
        </w:rPr>
        <w:t>, Dedi Hermon</w:t>
      </w:r>
      <w:r w:rsidRPr="00317CA4">
        <w:rPr>
          <w:vertAlign w:val="superscript"/>
          <w:lang w:val="id-ID"/>
        </w:rPr>
        <w:t>1</w:t>
      </w:r>
      <w:r w:rsidRPr="00317CA4">
        <w:rPr>
          <w:lang w:val="id-ID"/>
        </w:rPr>
        <w:t xml:space="preserve">, </w:t>
      </w:r>
      <w:r w:rsidRPr="00317CA4">
        <w:t>Rosmadi</w:t>
      </w:r>
      <w:r w:rsidRPr="00317CA4">
        <w:rPr>
          <w:lang w:val="id-ID"/>
        </w:rPr>
        <w:t xml:space="preserve"> bin Fauzi</w:t>
      </w:r>
      <w:r w:rsidRPr="00317CA4">
        <w:rPr>
          <w:vertAlign w:val="superscript"/>
          <w:lang w:val="id-ID"/>
        </w:rPr>
        <w:t>2</w:t>
      </w:r>
      <w:r w:rsidRPr="00317CA4">
        <w:rPr>
          <w:lang w:val="id-ID"/>
        </w:rPr>
        <w:t>, Gbenga Paul Awotayo</w:t>
      </w:r>
      <w:r w:rsidRPr="00317CA4">
        <w:rPr>
          <w:vertAlign w:val="superscript"/>
          <w:lang w:val="id-ID"/>
        </w:rPr>
        <w:t>3</w:t>
      </w:r>
    </w:p>
    <w:p w14:paraId="68F0AC8F" w14:textId="77777777" w:rsidR="00317CA4" w:rsidRPr="00317CA4" w:rsidRDefault="00317CA4" w:rsidP="00317CA4">
      <w:pPr>
        <w:pStyle w:val="AuthorAffiliation"/>
      </w:pPr>
      <w:r w:rsidRPr="00317CA4">
        <w:rPr>
          <w:vertAlign w:val="superscript"/>
        </w:rPr>
        <w:t xml:space="preserve">a </w:t>
      </w:r>
      <w:r w:rsidRPr="00317CA4">
        <w:t>Universitas Negeri Padang, Padang, Indonesia, Jl. Prof. Dr. Hamka, Kota Padang, 25171 Indonesia</w:t>
      </w:r>
    </w:p>
    <w:p w14:paraId="7418E0B5" w14:textId="77777777" w:rsidR="00317CA4" w:rsidRPr="00317CA4" w:rsidRDefault="00317CA4" w:rsidP="00317CA4">
      <w:pPr>
        <w:pStyle w:val="AuthorAffiliation"/>
      </w:pPr>
      <w:r w:rsidRPr="00317CA4">
        <w:rPr>
          <w:vertAlign w:val="superscript"/>
        </w:rPr>
        <w:t>b</w:t>
      </w:r>
      <w:r w:rsidRPr="00317CA4">
        <w:t xml:space="preserve"> Universiti Malaya, 50603 Kuala Lumpur, Wilayah Persekutuan Kuala Lumpur, Malaysia</w:t>
      </w:r>
    </w:p>
    <w:p w14:paraId="79717C22" w14:textId="77777777" w:rsidR="00317CA4" w:rsidRPr="00317CA4" w:rsidRDefault="00317CA4" w:rsidP="00317CA4">
      <w:pPr>
        <w:pStyle w:val="AuthorAffiliation"/>
      </w:pPr>
      <w:r w:rsidRPr="00317CA4">
        <w:rPr>
          <w:vertAlign w:val="superscript"/>
        </w:rPr>
        <w:t xml:space="preserve">c </w:t>
      </w:r>
      <w:r w:rsidRPr="00317CA4">
        <w:t>Kwara State College of Education, Ilorin College of Education shop, Oko Erin 240281, Kwara, Nigeria</w:t>
      </w:r>
    </w:p>
    <w:p w14:paraId="6512378D" w14:textId="701E0644" w:rsidR="00856998" w:rsidRDefault="00317CA4" w:rsidP="00317CA4">
      <w:pPr>
        <w:pStyle w:val="AuthorAffiliation"/>
        <w:rPr>
          <w:szCs w:val="18"/>
        </w:rPr>
      </w:pPr>
      <w:r w:rsidRPr="00317CA4">
        <w:rPr>
          <w:vertAlign w:val="superscript"/>
        </w:rPr>
        <w:t>1</w:t>
      </w:r>
      <w:r w:rsidRPr="00317CA4">
        <w:t xml:space="preserve"> novrisilfani5@gmail.com*; </w:t>
      </w:r>
      <w:r w:rsidRPr="00317CA4">
        <w:rPr>
          <w:vertAlign w:val="superscript"/>
        </w:rPr>
        <w:t xml:space="preserve">2 </w:t>
      </w:r>
      <w:r w:rsidRPr="00317CA4">
        <w:t xml:space="preserve">Email Second Author; </w:t>
      </w:r>
      <w:r w:rsidRPr="00317CA4">
        <w:rPr>
          <w:vertAlign w:val="superscript"/>
        </w:rPr>
        <w:t xml:space="preserve">3 </w:t>
      </w:r>
      <w:r w:rsidRPr="00317CA4">
        <w:t>Email Third Author</w:t>
      </w:r>
      <w:r w:rsidR="00732E00">
        <w:t xml:space="preserve">; </w:t>
      </w:r>
      <w:r w:rsidR="00732E00">
        <w:rPr>
          <w:vertAlign w:val="superscript"/>
        </w:rPr>
        <w:t>4</w:t>
      </w:r>
      <w:r w:rsidR="00732E00" w:rsidRPr="00317CA4">
        <w:rPr>
          <w:vertAlign w:val="superscript"/>
        </w:rPr>
        <w:t xml:space="preserve"> </w:t>
      </w:r>
      <w:r w:rsidR="00732E00" w:rsidRPr="00317CA4">
        <w:t xml:space="preserve">Email Second Author; </w:t>
      </w:r>
      <w:r w:rsidR="00732E00">
        <w:rPr>
          <w:vertAlign w:val="superscript"/>
        </w:rPr>
        <w:t>5</w:t>
      </w:r>
      <w:r w:rsidR="00732E00" w:rsidRPr="00317CA4">
        <w:rPr>
          <w:vertAlign w:val="superscript"/>
        </w:rPr>
        <w:t xml:space="preserve"> </w:t>
      </w:r>
      <w:r w:rsidR="00732E00" w:rsidRPr="00317CA4">
        <w:t>Email Third Author</w:t>
      </w:r>
    </w:p>
    <w:p w14:paraId="06EA0068" w14:textId="77777777" w:rsidR="001D3718" w:rsidRDefault="00856998" w:rsidP="00283EF6">
      <w:pPr>
        <w:pStyle w:val="AuthorAffiliation"/>
        <w:rPr>
          <w:szCs w:val="18"/>
        </w:rPr>
      </w:pPr>
      <w:r w:rsidRPr="00856998">
        <w:rPr>
          <w:szCs w:val="18"/>
        </w:rPr>
        <w:t>* correspond</w:t>
      </w:r>
      <w:r w:rsidR="00142C0F">
        <w:rPr>
          <w:szCs w:val="18"/>
        </w:rPr>
        <w:t>ing</w:t>
      </w:r>
      <w:r w:rsidRPr="00856998">
        <w:rPr>
          <w:szCs w:val="18"/>
        </w:rPr>
        <w:t xml:space="preserve"> author</w:t>
      </w:r>
    </w:p>
    <w:p w14:paraId="5A1E43A3" w14:textId="77777777" w:rsidR="002E5062" w:rsidRPr="002E5062" w:rsidRDefault="002E5062" w:rsidP="002E5062"/>
    <w:tbl>
      <w:tblPr>
        <w:tblpPr w:leftFromText="187" w:rightFromText="187" w:bottomFromText="187" w:vertAnchor="text" w:tblpXSpec="center" w:tblpY="1"/>
        <w:tblW w:w="4847" w:type="pct"/>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Layout w:type="fixed"/>
        <w:tblLook w:val="0000" w:firstRow="0" w:lastRow="0" w:firstColumn="0" w:lastColumn="0" w:noHBand="0" w:noVBand="0"/>
      </w:tblPr>
      <w:tblGrid>
        <w:gridCol w:w="2250"/>
        <w:gridCol w:w="7887"/>
      </w:tblGrid>
      <w:tr w:rsidR="00BB2C55" w:rsidRPr="00770151" w14:paraId="440ABAAF" w14:textId="77777777" w:rsidTr="006C30E1">
        <w:trPr>
          <w:trHeight w:val="730"/>
        </w:trPr>
        <w:tc>
          <w:tcPr>
            <w:tcW w:w="1110" w:type="pct"/>
            <w:shd w:val="clear" w:color="auto" w:fill="B4C6E7"/>
          </w:tcPr>
          <w:p w14:paraId="5615A459" w14:textId="77777777" w:rsidR="00BB2C55" w:rsidRPr="006C30E1" w:rsidRDefault="00BB2C55" w:rsidP="006C30E1">
            <w:pPr>
              <w:pStyle w:val="ArticleinfoHead"/>
              <w:rPr>
                <w:noProof/>
                <w:color w:val="000000"/>
                <w:sz w:val="18"/>
                <w:szCs w:val="18"/>
              </w:rPr>
            </w:pPr>
            <w:r w:rsidRPr="006C30E1">
              <w:rPr>
                <w:noProof/>
                <w:color w:val="000000"/>
                <w:sz w:val="18"/>
                <w:szCs w:val="18"/>
              </w:rPr>
              <w:t>ARTICLE INFO</w:t>
            </w:r>
          </w:p>
        </w:tc>
        <w:tc>
          <w:tcPr>
            <w:tcW w:w="3890" w:type="pct"/>
            <w:shd w:val="clear" w:color="auto" w:fill="A1B8E1"/>
          </w:tcPr>
          <w:p w14:paraId="174EC5E6" w14:textId="77777777" w:rsidR="00BB2C55" w:rsidRPr="006C30E1" w:rsidRDefault="00BB2C55" w:rsidP="006C30E1">
            <w:pPr>
              <w:pStyle w:val="ArticleinfoHead"/>
              <w:rPr>
                <w:b/>
                <w:color w:val="000000"/>
                <w:sz w:val="18"/>
                <w:szCs w:val="18"/>
              </w:rPr>
            </w:pPr>
            <w:r w:rsidRPr="006C30E1">
              <w:rPr>
                <w:color w:val="000000"/>
                <w:sz w:val="18"/>
                <w:szCs w:val="18"/>
              </w:rPr>
              <w:t>ABSTRACT</w:t>
            </w:r>
          </w:p>
        </w:tc>
      </w:tr>
      <w:tr w:rsidR="00BB2C55" w:rsidRPr="00770151" w14:paraId="023C7A1B" w14:textId="77777777" w:rsidTr="006C30E1">
        <w:trPr>
          <w:trHeight w:val="1082"/>
        </w:trPr>
        <w:tc>
          <w:tcPr>
            <w:tcW w:w="1110" w:type="pct"/>
            <w:shd w:val="clear" w:color="auto" w:fill="B4C6E7"/>
          </w:tcPr>
          <w:p w14:paraId="6AA892E7" w14:textId="77777777" w:rsidR="00BB2C55" w:rsidRPr="006C30E1" w:rsidRDefault="00BB2C55" w:rsidP="006C30E1">
            <w:pPr>
              <w:pStyle w:val="Articlehistory"/>
              <w:rPr>
                <w:b/>
                <w:color w:val="000000"/>
              </w:rPr>
            </w:pPr>
          </w:p>
          <w:p w14:paraId="6018A51F" w14:textId="77777777" w:rsidR="00BB2C55" w:rsidRPr="006C30E1" w:rsidRDefault="00BB2C55" w:rsidP="006C30E1">
            <w:pPr>
              <w:pStyle w:val="ArticlehistoryHead"/>
              <w:framePr w:hSpace="0" w:wrap="auto" w:vAnchor="margin" w:yAlign="inline"/>
              <w:suppressOverlap w:val="0"/>
              <w:rPr>
                <w:color w:val="000000"/>
              </w:rPr>
            </w:pPr>
            <w:r w:rsidRPr="006C30E1">
              <w:rPr>
                <w:color w:val="000000"/>
              </w:rPr>
              <w:t>Article history</w:t>
            </w:r>
          </w:p>
          <w:p w14:paraId="2C83841C" w14:textId="6DF92062" w:rsidR="00B456B2" w:rsidRPr="006932A5" w:rsidRDefault="00B456B2" w:rsidP="00B456B2">
            <w:pPr>
              <w:pStyle w:val="Articlehistory"/>
              <w:rPr>
                <w:color w:val="000000"/>
              </w:rPr>
            </w:pPr>
            <w:r w:rsidRPr="006932A5">
              <w:rPr>
                <w:color w:val="000000"/>
              </w:rPr>
              <w:t xml:space="preserve">Received </w:t>
            </w:r>
            <w:r w:rsidR="00732E00">
              <w:rPr>
                <w:color w:val="000000"/>
              </w:rPr>
              <w:t>April</w:t>
            </w:r>
            <w:r w:rsidRPr="006932A5">
              <w:rPr>
                <w:color w:val="000000"/>
              </w:rPr>
              <w:t xml:space="preserve"> </w:t>
            </w:r>
            <w:r w:rsidR="00732E00">
              <w:rPr>
                <w:color w:val="000000"/>
              </w:rPr>
              <w:t>27</w:t>
            </w:r>
            <w:r w:rsidRPr="006932A5">
              <w:rPr>
                <w:color w:val="000000"/>
              </w:rPr>
              <w:t>, 202</w:t>
            </w:r>
            <w:r>
              <w:rPr>
                <w:color w:val="000000"/>
              </w:rPr>
              <w:t>6</w:t>
            </w:r>
          </w:p>
          <w:p w14:paraId="4C6FE496" w14:textId="77777777" w:rsidR="00B456B2" w:rsidRPr="006932A5" w:rsidRDefault="00B456B2" w:rsidP="00B456B2">
            <w:pPr>
              <w:pStyle w:val="Articlehistory"/>
              <w:rPr>
                <w:color w:val="000000"/>
              </w:rPr>
            </w:pPr>
            <w:r w:rsidRPr="006932A5">
              <w:rPr>
                <w:color w:val="000000"/>
              </w:rPr>
              <w:t xml:space="preserve">Revised </w:t>
            </w:r>
            <w:r>
              <w:rPr>
                <w:color w:val="000000"/>
              </w:rPr>
              <w:t>June</w:t>
            </w:r>
            <w:r w:rsidRPr="006932A5">
              <w:rPr>
                <w:color w:val="000000"/>
              </w:rPr>
              <w:t xml:space="preserve"> </w:t>
            </w:r>
            <w:r>
              <w:rPr>
                <w:color w:val="000000"/>
              </w:rPr>
              <w:t>08</w:t>
            </w:r>
            <w:r w:rsidRPr="006932A5">
              <w:rPr>
                <w:color w:val="000000"/>
              </w:rPr>
              <w:t>, 202</w:t>
            </w:r>
            <w:r>
              <w:rPr>
                <w:color w:val="000000"/>
              </w:rPr>
              <w:t>6</w:t>
            </w:r>
          </w:p>
          <w:p w14:paraId="7BA13417" w14:textId="65FD382B" w:rsidR="00BB2C55" w:rsidRPr="006C30E1" w:rsidRDefault="00B456B2" w:rsidP="00B456B2">
            <w:pPr>
              <w:pStyle w:val="Articlehistory"/>
              <w:rPr>
                <w:i w:val="0"/>
                <w:color w:val="000000"/>
              </w:rPr>
            </w:pPr>
            <w:r w:rsidRPr="006932A5">
              <w:rPr>
                <w:color w:val="000000"/>
              </w:rPr>
              <w:t xml:space="preserve">Accepted </w:t>
            </w:r>
            <w:r>
              <w:rPr>
                <w:color w:val="000000"/>
              </w:rPr>
              <w:t>June</w:t>
            </w:r>
            <w:r w:rsidRPr="006932A5">
              <w:rPr>
                <w:color w:val="000000"/>
              </w:rPr>
              <w:t xml:space="preserve"> </w:t>
            </w:r>
            <w:r w:rsidR="00732E00">
              <w:rPr>
                <w:color w:val="000000"/>
              </w:rPr>
              <w:t>25</w:t>
            </w:r>
            <w:r w:rsidRPr="006932A5">
              <w:rPr>
                <w:color w:val="000000"/>
              </w:rPr>
              <w:t>, 202</w:t>
            </w:r>
            <w:r>
              <w:rPr>
                <w:color w:val="000000"/>
              </w:rPr>
              <w:t>6</w:t>
            </w:r>
          </w:p>
        </w:tc>
        <w:tc>
          <w:tcPr>
            <w:tcW w:w="3890" w:type="pct"/>
            <w:vMerge w:val="restart"/>
            <w:shd w:val="clear" w:color="auto" w:fill="ECF1F9"/>
          </w:tcPr>
          <w:p w14:paraId="43BDE985" w14:textId="72DFAAF5" w:rsidR="004F4AAB" w:rsidRPr="006C30E1" w:rsidRDefault="00531785" w:rsidP="006C30E1">
            <w:pPr>
              <w:pStyle w:val="AbstractText"/>
              <w:rPr>
                <w:color w:val="000000"/>
              </w:rPr>
            </w:pPr>
            <w:proofErr w:type="spellStart"/>
            <w:r w:rsidRPr="00531785">
              <w:rPr>
                <w:color w:val="000000"/>
                <w:lang w:val="id-ID"/>
              </w:rPr>
              <w:t>This</w:t>
            </w:r>
            <w:proofErr w:type="spellEnd"/>
            <w:r w:rsidRPr="00531785">
              <w:rPr>
                <w:color w:val="000000"/>
                <w:lang w:val="id-ID"/>
              </w:rPr>
              <w:t xml:space="preserve"> study </w:t>
            </w:r>
            <w:proofErr w:type="spellStart"/>
            <w:r w:rsidRPr="00531785">
              <w:rPr>
                <w:color w:val="000000"/>
                <w:lang w:val="id-ID"/>
              </w:rPr>
              <w:t>examines</w:t>
            </w:r>
            <w:proofErr w:type="spellEnd"/>
            <w:r w:rsidRPr="00531785">
              <w:rPr>
                <w:color w:val="000000"/>
                <w:lang w:val="id-ID"/>
              </w:rPr>
              <w:t xml:space="preserve"> </w:t>
            </w:r>
            <w:proofErr w:type="spellStart"/>
            <w:r w:rsidRPr="00531785">
              <w:rPr>
                <w:color w:val="000000"/>
                <w:lang w:val="id-ID"/>
              </w:rPr>
              <w:t>the</w:t>
            </w:r>
            <w:proofErr w:type="spellEnd"/>
            <w:r w:rsidRPr="00531785">
              <w:rPr>
                <w:color w:val="000000"/>
                <w:lang w:val="id-ID"/>
              </w:rPr>
              <w:t xml:space="preserve"> </w:t>
            </w:r>
            <w:proofErr w:type="spellStart"/>
            <w:r w:rsidRPr="00531785">
              <w:rPr>
                <w:color w:val="000000"/>
                <w:lang w:val="id-ID"/>
              </w:rPr>
              <w:t>geopolitical</w:t>
            </w:r>
            <w:proofErr w:type="spellEnd"/>
            <w:r w:rsidRPr="00531785">
              <w:rPr>
                <w:color w:val="000000"/>
                <w:lang w:val="id-ID"/>
              </w:rPr>
              <w:t xml:space="preserve"> </w:t>
            </w:r>
            <w:proofErr w:type="spellStart"/>
            <w:r w:rsidRPr="00531785">
              <w:rPr>
                <w:color w:val="000000"/>
                <w:lang w:val="id-ID"/>
              </w:rPr>
              <w:t>role</w:t>
            </w:r>
            <w:proofErr w:type="spellEnd"/>
            <w:r w:rsidRPr="00531785">
              <w:rPr>
                <w:color w:val="000000"/>
                <w:lang w:val="id-ID"/>
              </w:rPr>
              <w:t xml:space="preserve"> </w:t>
            </w:r>
            <w:proofErr w:type="spellStart"/>
            <w:r w:rsidRPr="00531785">
              <w:rPr>
                <w:color w:val="000000"/>
                <w:lang w:val="id-ID"/>
              </w:rPr>
              <w:t>of</w:t>
            </w:r>
            <w:proofErr w:type="spellEnd"/>
            <w:r w:rsidRPr="00531785">
              <w:rPr>
                <w:color w:val="000000"/>
                <w:lang w:val="id-ID"/>
              </w:rPr>
              <w:t xml:space="preserve"> </w:t>
            </w:r>
            <w:proofErr w:type="spellStart"/>
            <w:r w:rsidRPr="00531785">
              <w:rPr>
                <w:color w:val="000000"/>
                <w:lang w:val="id-ID"/>
              </w:rPr>
              <w:t>the</w:t>
            </w:r>
            <w:proofErr w:type="spellEnd"/>
            <w:r w:rsidRPr="00531785">
              <w:rPr>
                <w:color w:val="000000"/>
                <w:lang w:val="id-ID"/>
              </w:rPr>
              <w:t xml:space="preserve"> </w:t>
            </w:r>
            <w:proofErr w:type="spellStart"/>
            <w:r w:rsidRPr="00531785">
              <w:rPr>
                <w:color w:val="000000"/>
                <w:lang w:val="id-ID"/>
              </w:rPr>
              <w:t>Petronas</w:t>
            </w:r>
            <w:proofErr w:type="spellEnd"/>
            <w:r w:rsidRPr="00531785">
              <w:rPr>
                <w:color w:val="000000"/>
                <w:lang w:val="id-ID"/>
              </w:rPr>
              <w:t xml:space="preserve"> </w:t>
            </w:r>
            <w:proofErr w:type="spellStart"/>
            <w:r w:rsidRPr="00531785">
              <w:rPr>
                <w:color w:val="000000"/>
                <w:lang w:val="id-ID"/>
              </w:rPr>
              <w:t>Twin</w:t>
            </w:r>
            <w:proofErr w:type="spellEnd"/>
            <w:r w:rsidRPr="00531785">
              <w:rPr>
                <w:color w:val="000000"/>
                <w:lang w:val="id-ID"/>
              </w:rPr>
              <w:t xml:space="preserve"> </w:t>
            </w:r>
            <w:proofErr w:type="spellStart"/>
            <w:r w:rsidRPr="00531785">
              <w:rPr>
                <w:color w:val="000000"/>
                <w:lang w:val="id-ID"/>
              </w:rPr>
              <w:t>Towers</w:t>
            </w:r>
            <w:proofErr w:type="spellEnd"/>
            <w:r w:rsidRPr="00531785">
              <w:rPr>
                <w:color w:val="000000"/>
                <w:lang w:val="id-ID"/>
              </w:rPr>
              <w:t xml:space="preserve"> as a </w:t>
            </w:r>
            <w:proofErr w:type="spellStart"/>
            <w:r w:rsidRPr="00531785">
              <w:rPr>
                <w:color w:val="000000"/>
                <w:lang w:val="id-ID"/>
              </w:rPr>
              <w:t>symbolic</w:t>
            </w:r>
            <w:proofErr w:type="spellEnd"/>
            <w:r w:rsidRPr="00531785">
              <w:rPr>
                <w:color w:val="000000"/>
                <w:lang w:val="id-ID"/>
              </w:rPr>
              <w:t xml:space="preserve"> </w:t>
            </w:r>
            <w:proofErr w:type="spellStart"/>
            <w:r w:rsidRPr="00531785">
              <w:rPr>
                <w:color w:val="000000"/>
                <w:lang w:val="id-ID"/>
              </w:rPr>
              <w:t>and</w:t>
            </w:r>
            <w:proofErr w:type="spellEnd"/>
            <w:r w:rsidRPr="00531785">
              <w:rPr>
                <w:color w:val="000000"/>
                <w:lang w:val="id-ID"/>
              </w:rPr>
              <w:t xml:space="preserve"> </w:t>
            </w:r>
            <w:proofErr w:type="spellStart"/>
            <w:r w:rsidRPr="00531785">
              <w:rPr>
                <w:color w:val="000000"/>
                <w:lang w:val="id-ID"/>
              </w:rPr>
              <w:t>strategic</w:t>
            </w:r>
            <w:proofErr w:type="spellEnd"/>
            <w:r w:rsidRPr="00531785">
              <w:rPr>
                <w:color w:val="000000"/>
                <w:lang w:val="id-ID"/>
              </w:rPr>
              <w:t xml:space="preserve"> urban </w:t>
            </w:r>
            <w:proofErr w:type="spellStart"/>
            <w:r w:rsidRPr="00531785">
              <w:rPr>
                <w:color w:val="000000"/>
                <w:lang w:val="id-ID"/>
              </w:rPr>
              <w:t>landmark</w:t>
            </w:r>
            <w:proofErr w:type="spellEnd"/>
            <w:r w:rsidRPr="00531785">
              <w:rPr>
                <w:color w:val="000000"/>
                <w:lang w:val="id-ID"/>
              </w:rPr>
              <w:t xml:space="preserve"> in </w:t>
            </w:r>
            <w:proofErr w:type="spellStart"/>
            <w:r w:rsidRPr="00531785">
              <w:rPr>
                <w:color w:val="000000"/>
                <w:lang w:val="id-ID"/>
              </w:rPr>
              <w:t>shaping</w:t>
            </w:r>
            <w:proofErr w:type="spellEnd"/>
            <w:r w:rsidRPr="00531785">
              <w:rPr>
                <w:color w:val="000000"/>
                <w:lang w:val="id-ID"/>
              </w:rPr>
              <w:t xml:space="preserve"> </w:t>
            </w:r>
            <w:proofErr w:type="spellStart"/>
            <w:r w:rsidRPr="00531785">
              <w:rPr>
                <w:color w:val="000000"/>
                <w:lang w:val="id-ID"/>
              </w:rPr>
              <w:t>Malaysia’s</w:t>
            </w:r>
            <w:proofErr w:type="spellEnd"/>
            <w:r w:rsidRPr="00531785">
              <w:rPr>
                <w:color w:val="000000"/>
                <w:lang w:val="id-ID"/>
              </w:rPr>
              <w:t xml:space="preserve"> </w:t>
            </w:r>
            <w:proofErr w:type="spellStart"/>
            <w:r w:rsidRPr="00531785">
              <w:rPr>
                <w:color w:val="000000"/>
                <w:lang w:val="id-ID"/>
              </w:rPr>
              <w:t>position</w:t>
            </w:r>
            <w:proofErr w:type="spellEnd"/>
            <w:r w:rsidRPr="00531785">
              <w:rPr>
                <w:color w:val="000000"/>
                <w:lang w:val="id-ID"/>
              </w:rPr>
              <w:t xml:space="preserve"> </w:t>
            </w:r>
            <w:proofErr w:type="spellStart"/>
            <w:r w:rsidRPr="00531785">
              <w:rPr>
                <w:color w:val="000000"/>
                <w:lang w:val="id-ID"/>
              </w:rPr>
              <w:t>within</w:t>
            </w:r>
            <w:proofErr w:type="spellEnd"/>
            <w:r w:rsidRPr="00531785">
              <w:rPr>
                <w:color w:val="000000"/>
                <w:lang w:val="id-ID"/>
              </w:rPr>
              <w:t xml:space="preserve"> </w:t>
            </w:r>
            <w:proofErr w:type="spellStart"/>
            <w:r w:rsidRPr="00531785">
              <w:rPr>
                <w:color w:val="000000"/>
                <w:lang w:val="id-ID"/>
              </w:rPr>
              <w:t>Southeast</w:t>
            </w:r>
            <w:proofErr w:type="spellEnd"/>
            <w:r w:rsidRPr="00531785">
              <w:rPr>
                <w:color w:val="000000"/>
                <w:lang w:val="id-ID"/>
              </w:rPr>
              <w:t xml:space="preserve"> Asia </w:t>
            </w:r>
            <w:proofErr w:type="spellStart"/>
            <w:r w:rsidRPr="00531785">
              <w:rPr>
                <w:color w:val="000000"/>
                <w:lang w:val="id-ID"/>
              </w:rPr>
              <w:t>and</w:t>
            </w:r>
            <w:proofErr w:type="spellEnd"/>
            <w:r w:rsidRPr="00531785">
              <w:rPr>
                <w:color w:val="000000"/>
                <w:lang w:val="id-ID"/>
              </w:rPr>
              <w:t xml:space="preserve"> </w:t>
            </w:r>
            <w:proofErr w:type="spellStart"/>
            <w:r w:rsidRPr="00531785">
              <w:rPr>
                <w:color w:val="000000"/>
                <w:lang w:val="id-ID"/>
              </w:rPr>
              <w:t>the</w:t>
            </w:r>
            <w:proofErr w:type="spellEnd"/>
            <w:r w:rsidRPr="00531785">
              <w:rPr>
                <w:color w:val="000000"/>
                <w:lang w:val="id-ID"/>
              </w:rPr>
              <w:t xml:space="preserve"> global </w:t>
            </w:r>
            <w:proofErr w:type="spellStart"/>
            <w:r w:rsidRPr="00531785">
              <w:rPr>
                <w:color w:val="000000"/>
                <w:lang w:val="id-ID"/>
              </w:rPr>
              <w:t>system</w:t>
            </w:r>
            <w:proofErr w:type="spellEnd"/>
            <w:r w:rsidRPr="00531785">
              <w:rPr>
                <w:color w:val="000000"/>
                <w:lang w:val="id-ID"/>
              </w:rPr>
              <w:t xml:space="preserve">. The </w:t>
            </w:r>
            <w:proofErr w:type="spellStart"/>
            <w:r w:rsidRPr="00531785">
              <w:rPr>
                <w:color w:val="000000"/>
                <w:lang w:val="id-ID"/>
              </w:rPr>
              <w:t>research</w:t>
            </w:r>
            <w:proofErr w:type="spellEnd"/>
            <w:r w:rsidRPr="00531785">
              <w:rPr>
                <w:color w:val="000000"/>
                <w:lang w:val="id-ID"/>
              </w:rPr>
              <w:t xml:space="preserve"> </w:t>
            </w:r>
            <w:proofErr w:type="spellStart"/>
            <w:r w:rsidRPr="00531785">
              <w:rPr>
                <w:color w:val="000000"/>
                <w:lang w:val="id-ID"/>
              </w:rPr>
              <w:t>is</w:t>
            </w:r>
            <w:proofErr w:type="spellEnd"/>
            <w:r w:rsidRPr="00531785">
              <w:rPr>
                <w:color w:val="000000"/>
                <w:lang w:val="id-ID"/>
              </w:rPr>
              <w:t xml:space="preserve"> </w:t>
            </w:r>
            <w:proofErr w:type="spellStart"/>
            <w:r w:rsidRPr="00531785">
              <w:rPr>
                <w:color w:val="000000"/>
                <w:lang w:val="id-ID"/>
              </w:rPr>
              <w:t>motivated</w:t>
            </w:r>
            <w:proofErr w:type="spellEnd"/>
            <w:r w:rsidRPr="00531785">
              <w:rPr>
                <w:color w:val="000000"/>
                <w:lang w:val="id-ID"/>
              </w:rPr>
              <w:t xml:space="preserve"> </w:t>
            </w:r>
            <w:proofErr w:type="spellStart"/>
            <w:r w:rsidRPr="00531785">
              <w:rPr>
                <w:color w:val="000000"/>
                <w:lang w:val="id-ID"/>
              </w:rPr>
              <w:t>by</w:t>
            </w:r>
            <w:proofErr w:type="spellEnd"/>
            <w:r w:rsidRPr="00531785">
              <w:rPr>
                <w:color w:val="000000"/>
                <w:lang w:val="id-ID"/>
              </w:rPr>
              <w:t xml:space="preserve"> </w:t>
            </w:r>
            <w:proofErr w:type="spellStart"/>
            <w:r w:rsidRPr="00531785">
              <w:rPr>
                <w:color w:val="000000"/>
                <w:lang w:val="id-ID"/>
              </w:rPr>
              <w:t>the</w:t>
            </w:r>
            <w:proofErr w:type="spellEnd"/>
            <w:r w:rsidRPr="00531785">
              <w:rPr>
                <w:color w:val="000000"/>
                <w:lang w:val="id-ID"/>
              </w:rPr>
              <w:t xml:space="preserve"> </w:t>
            </w:r>
            <w:proofErr w:type="spellStart"/>
            <w:r w:rsidRPr="00531785">
              <w:rPr>
                <w:color w:val="000000"/>
                <w:lang w:val="id-ID"/>
              </w:rPr>
              <w:t>growing</w:t>
            </w:r>
            <w:proofErr w:type="spellEnd"/>
            <w:r w:rsidRPr="00531785">
              <w:rPr>
                <w:color w:val="000000"/>
                <w:lang w:val="id-ID"/>
              </w:rPr>
              <w:t xml:space="preserve"> </w:t>
            </w:r>
            <w:proofErr w:type="spellStart"/>
            <w:r w:rsidRPr="00531785">
              <w:rPr>
                <w:color w:val="000000"/>
                <w:lang w:val="id-ID"/>
              </w:rPr>
              <w:t>importance</w:t>
            </w:r>
            <w:proofErr w:type="spellEnd"/>
            <w:r w:rsidRPr="00531785">
              <w:rPr>
                <w:color w:val="000000"/>
                <w:lang w:val="id-ID"/>
              </w:rPr>
              <w:t xml:space="preserve"> </w:t>
            </w:r>
            <w:proofErr w:type="spellStart"/>
            <w:r w:rsidRPr="00531785">
              <w:rPr>
                <w:color w:val="000000"/>
                <w:lang w:val="id-ID"/>
              </w:rPr>
              <w:t>of</w:t>
            </w:r>
            <w:proofErr w:type="spellEnd"/>
            <w:r w:rsidRPr="00531785">
              <w:rPr>
                <w:color w:val="000000"/>
                <w:lang w:val="id-ID"/>
              </w:rPr>
              <w:t xml:space="preserve"> non-</w:t>
            </w:r>
            <w:proofErr w:type="spellStart"/>
            <w:r w:rsidRPr="00531785">
              <w:rPr>
                <w:color w:val="000000"/>
                <w:lang w:val="id-ID"/>
              </w:rPr>
              <w:t>military</w:t>
            </w:r>
            <w:proofErr w:type="spellEnd"/>
            <w:r w:rsidRPr="00531785">
              <w:rPr>
                <w:color w:val="000000"/>
                <w:lang w:val="id-ID"/>
              </w:rPr>
              <w:t xml:space="preserve"> </w:t>
            </w:r>
            <w:proofErr w:type="spellStart"/>
            <w:r w:rsidRPr="00531785">
              <w:rPr>
                <w:color w:val="000000"/>
                <w:lang w:val="id-ID"/>
              </w:rPr>
              <w:t>instruments</w:t>
            </w:r>
            <w:proofErr w:type="spellEnd"/>
            <w:r w:rsidRPr="00531785">
              <w:rPr>
                <w:color w:val="000000"/>
                <w:lang w:val="id-ID"/>
              </w:rPr>
              <w:t xml:space="preserve">, </w:t>
            </w:r>
            <w:proofErr w:type="spellStart"/>
            <w:r w:rsidRPr="00531785">
              <w:rPr>
                <w:color w:val="000000"/>
                <w:lang w:val="id-ID"/>
              </w:rPr>
              <w:t>particularly</w:t>
            </w:r>
            <w:proofErr w:type="spellEnd"/>
            <w:r w:rsidRPr="00531785">
              <w:rPr>
                <w:color w:val="000000"/>
                <w:lang w:val="id-ID"/>
              </w:rPr>
              <w:t xml:space="preserve"> </w:t>
            </w:r>
            <w:proofErr w:type="spellStart"/>
            <w:r w:rsidRPr="00531785">
              <w:rPr>
                <w:color w:val="000000"/>
                <w:lang w:val="id-ID"/>
              </w:rPr>
              <w:t>iconic</w:t>
            </w:r>
            <w:proofErr w:type="spellEnd"/>
            <w:r w:rsidRPr="00531785">
              <w:rPr>
                <w:color w:val="000000"/>
                <w:lang w:val="id-ID"/>
              </w:rPr>
              <w:t xml:space="preserve"> </w:t>
            </w:r>
            <w:proofErr w:type="spellStart"/>
            <w:r w:rsidRPr="00531785">
              <w:rPr>
                <w:color w:val="000000"/>
                <w:lang w:val="id-ID"/>
              </w:rPr>
              <w:t>architecture</w:t>
            </w:r>
            <w:proofErr w:type="spellEnd"/>
            <w:r w:rsidRPr="00531785">
              <w:rPr>
                <w:color w:val="000000"/>
                <w:lang w:val="id-ID"/>
              </w:rPr>
              <w:t xml:space="preserve">, in </w:t>
            </w:r>
            <w:proofErr w:type="spellStart"/>
            <w:r w:rsidRPr="00531785">
              <w:rPr>
                <w:color w:val="000000"/>
                <w:lang w:val="id-ID"/>
              </w:rPr>
              <w:t>contemporary</w:t>
            </w:r>
            <w:proofErr w:type="spellEnd"/>
            <w:r w:rsidRPr="00531785">
              <w:rPr>
                <w:color w:val="000000"/>
                <w:lang w:val="id-ID"/>
              </w:rPr>
              <w:t xml:space="preserve"> </w:t>
            </w:r>
            <w:proofErr w:type="spellStart"/>
            <w:r w:rsidRPr="00531785">
              <w:rPr>
                <w:color w:val="000000"/>
                <w:lang w:val="id-ID"/>
              </w:rPr>
              <w:t>geopolitics</w:t>
            </w:r>
            <w:proofErr w:type="spellEnd"/>
            <w:r w:rsidRPr="00531785">
              <w:rPr>
                <w:color w:val="000000"/>
                <w:lang w:val="id-ID"/>
              </w:rPr>
              <w:t xml:space="preserve"> </w:t>
            </w:r>
            <w:proofErr w:type="spellStart"/>
            <w:r w:rsidRPr="00531785">
              <w:rPr>
                <w:color w:val="000000"/>
                <w:lang w:val="id-ID"/>
              </w:rPr>
              <w:t>and</w:t>
            </w:r>
            <w:proofErr w:type="spellEnd"/>
            <w:r w:rsidRPr="00531785">
              <w:rPr>
                <w:color w:val="000000"/>
                <w:lang w:val="id-ID"/>
              </w:rPr>
              <w:t xml:space="preserve"> </w:t>
            </w:r>
            <w:proofErr w:type="spellStart"/>
            <w:r w:rsidRPr="00531785">
              <w:rPr>
                <w:color w:val="000000"/>
                <w:lang w:val="id-ID"/>
              </w:rPr>
              <w:t>international</w:t>
            </w:r>
            <w:proofErr w:type="spellEnd"/>
            <w:r w:rsidRPr="00531785">
              <w:rPr>
                <w:color w:val="000000"/>
                <w:lang w:val="id-ID"/>
              </w:rPr>
              <w:t xml:space="preserve"> </w:t>
            </w:r>
            <w:proofErr w:type="spellStart"/>
            <w:r w:rsidRPr="00531785">
              <w:rPr>
                <w:color w:val="000000"/>
                <w:lang w:val="id-ID"/>
              </w:rPr>
              <w:t>diplomacy</w:t>
            </w:r>
            <w:proofErr w:type="spellEnd"/>
            <w:r w:rsidRPr="00531785">
              <w:rPr>
                <w:color w:val="000000"/>
                <w:lang w:val="id-ID"/>
              </w:rPr>
              <w:t xml:space="preserve">. The </w:t>
            </w:r>
            <w:proofErr w:type="spellStart"/>
            <w:r w:rsidRPr="00531785">
              <w:rPr>
                <w:color w:val="000000"/>
                <w:lang w:val="id-ID"/>
              </w:rPr>
              <w:t>objective</w:t>
            </w:r>
            <w:proofErr w:type="spellEnd"/>
            <w:r w:rsidRPr="00531785">
              <w:rPr>
                <w:color w:val="000000"/>
                <w:lang w:val="id-ID"/>
              </w:rPr>
              <w:t xml:space="preserve"> </w:t>
            </w:r>
            <w:proofErr w:type="spellStart"/>
            <w:r w:rsidRPr="00531785">
              <w:rPr>
                <w:color w:val="000000"/>
                <w:lang w:val="id-ID"/>
              </w:rPr>
              <w:t>of</w:t>
            </w:r>
            <w:proofErr w:type="spellEnd"/>
            <w:r w:rsidRPr="00531785">
              <w:rPr>
                <w:color w:val="000000"/>
                <w:lang w:val="id-ID"/>
              </w:rPr>
              <w:t xml:space="preserve"> </w:t>
            </w:r>
            <w:proofErr w:type="spellStart"/>
            <w:r w:rsidRPr="00531785">
              <w:rPr>
                <w:color w:val="000000"/>
                <w:lang w:val="id-ID"/>
              </w:rPr>
              <w:t>this</w:t>
            </w:r>
            <w:proofErr w:type="spellEnd"/>
            <w:r w:rsidRPr="00531785">
              <w:rPr>
                <w:color w:val="000000"/>
                <w:lang w:val="id-ID"/>
              </w:rPr>
              <w:t xml:space="preserve"> study </w:t>
            </w:r>
            <w:proofErr w:type="spellStart"/>
            <w:r w:rsidRPr="00531785">
              <w:rPr>
                <w:color w:val="000000"/>
                <w:lang w:val="id-ID"/>
              </w:rPr>
              <w:t>is</w:t>
            </w:r>
            <w:proofErr w:type="spellEnd"/>
            <w:r w:rsidRPr="00531785">
              <w:rPr>
                <w:color w:val="000000"/>
                <w:lang w:val="id-ID"/>
              </w:rPr>
              <w:t xml:space="preserve"> </w:t>
            </w:r>
            <w:proofErr w:type="spellStart"/>
            <w:r w:rsidRPr="00531785">
              <w:rPr>
                <w:color w:val="000000"/>
                <w:lang w:val="id-ID"/>
              </w:rPr>
              <w:t>to</w:t>
            </w:r>
            <w:proofErr w:type="spellEnd"/>
            <w:r w:rsidRPr="00531785">
              <w:rPr>
                <w:color w:val="000000"/>
                <w:lang w:val="id-ID"/>
              </w:rPr>
              <w:t xml:space="preserve"> </w:t>
            </w:r>
            <w:proofErr w:type="spellStart"/>
            <w:r w:rsidRPr="00531785">
              <w:rPr>
                <w:color w:val="000000"/>
                <w:lang w:val="id-ID"/>
              </w:rPr>
              <w:t>analyze</w:t>
            </w:r>
            <w:proofErr w:type="spellEnd"/>
            <w:r w:rsidRPr="00531785">
              <w:rPr>
                <w:color w:val="000000"/>
                <w:lang w:val="id-ID"/>
              </w:rPr>
              <w:t xml:space="preserve"> </w:t>
            </w:r>
            <w:proofErr w:type="spellStart"/>
            <w:r w:rsidRPr="00531785">
              <w:rPr>
                <w:color w:val="000000"/>
                <w:lang w:val="id-ID"/>
              </w:rPr>
              <w:t>how</w:t>
            </w:r>
            <w:proofErr w:type="spellEnd"/>
            <w:r w:rsidRPr="00531785">
              <w:rPr>
                <w:color w:val="000000"/>
                <w:lang w:val="id-ID"/>
              </w:rPr>
              <w:t xml:space="preserve"> </w:t>
            </w:r>
            <w:proofErr w:type="spellStart"/>
            <w:r w:rsidRPr="00531785">
              <w:rPr>
                <w:color w:val="000000"/>
                <w:lang w:val="id-ID"/>
              </w:rPr>
              <w:t>the</w:t>
            </w:r>
            <w:proofErr w:type="spellEnd"/>
            <w:r w:rsidRPr="00531785">
              <w:rPr>
                <w:color w:val="000000"/>
                <w:lang w:val="id-ID"/>
              </w:rPr>
              <w:t xml:space="preserve"> </w:t>
            </w:r>
            <w:proofErr w:type="spellStart"/>
            <w:r w:rsidRPr="00531785">
              <w:rPr>
                <w:color w:val="000000"/>
                <w:lang w:val="id-ID"/>
              </w:rPr>
              <w:t>Petronas</w:t>
            </w:r>
            <w:proofErr w:type="spellEnd"/>
            <w:r w:rsidRPr="00531785">
              <w:rPr>
                <w:color w:val="000000"/>
                <w:lang w:val="id-ID"/>
              </w:rPr>
              <w:t xml:space="preserve"> </w:t>
            </w:r>
            <w:proofErr w:type="spellStart"/>
            <w:r w:rsidRPr="00531785">
              <w:rPr>
                <w:color w:val="000000"/>
                <w:lang w:val="id-ID"/>
              </w:rPr>
              <w:t>Twin</w:t>
            </w:r>
            <w:proofErr w:type="spellEnd"/>
            <w:r w:rsidRPr="00531785">
              <w:rPr>
                <w:color w:val="000000"/>
                <w:lang w:val="id-ID"/>
              </w:rPr>
              <w:t xml:space="preserve"> </w:t>
            </w:r>
            <w:proofErr w:type="spellStart"/>
            <w:r w:rsidRPr="00531785">
              <w:rPr>
                <w:color w:val="000000"/>
                <w:lang w:val="id-ID"/>
              </w:rPr>
              <w:t>Towers</w:t>
            </w:r>
            <w:proofErr w:type="spellEnd"/>
            <w:r w:rsidRPr="00531785">
              <w:rPr>
                <w:color w:val="000000"/>
                <w:lang w:val="id-ID"/>
              </w:rPr>
              <w:t xml:space="preserve"> </w:t>
            </w:r>
            <w:proofErr w:type="spellStart"/>
            <w:r w:rsidRPr="00531785">
              <w:rPr>
                <w:color w:val="000000"/>
                <w:lang w:val="id-ID"/>
              </w:rPr>
              <w:t>function</w:t>
            </w:r>
            <w:proofErr w:type="spellEnd"/>
            <w:r w:rsidRPr="00531785">
              <w:rPr>
                <w:color w:val="000000"/>
                <w:lang w:val="id-ID"/>
              </w:rPr>
              <w:t xml:space="preserve"> as a medium </w:t>
            </w:r>
            <w:proofErr w:type="spellStart"/>
            <w:r w:rsidRPr="00531785">
              <w:rPr>
                <w:color w:val="000000"/>
                <w:lang w:val="id-ID"/>
              </w:rPr>
              <w:t>of</w:t>
            </w:r>
            <w:proofErr w:type="spellEnd"/>
            <w:r w:rsidRPr="00531785">
              <w:rPr>
                <w:color w:val="000000"/>
                <w:lang w:val="id-ID"/>
              </w:rPr>
              <w:t xml:space="preserve"> </w:t>
            </w:r>
            <w:proofErr w:type="spellStart"/>
            <w:r w:rsidRPr="00531785">
              <w:rPr>
                <w:color w:val="000000"/>
                <w:lang w:val="id-ID"/>
              </w:rPr>
              <w:t>geopolitical</w:t>
            </w:r>
            <w:proofErr w:type="spellEnd"/>
            <w:r w:rsidRPr="00531785">
              <w:rPr>
                <w:color w:val="000000"/>
                <w:lang w:val="id-ID"/>
              </w:rPr>
              <w:t xml:space="preserve"> </w:t>
            </w:r>
            <w:proofErr w:type="spellStart"/>
            <w:r w:rsidRPr="00531785">
              <w:rPr>
                <w:color w:val="000000"/>
                <w:lang w:val="id-ID"/>
              </w:rPr>
              <w:t>representation</w:t>
            </w:r>
            <w:proofErr w:type="spellEnd"/>
            <w:r w:rsidRPr="00531785">
              <w:rPr>
                <w:color w:val="000000"/>
                <w:lang w:val="id-ID"/>
              </w:rPr>
              <w:t xml:space="preserve">, </w:t>
            </w:r>
            <w:proofErr w:type="spellStart"/>
            <w:r w:rsidRPr="00531785">
              <w:rPr>
                <w:color w:val="000000"/>
                <w:lang w:val="id-ID"/>
              </w:rPr>
              <w:t>economic</w:t>
            </w:r>
            <w:proofErr w:type="spellEnd"/>
            <w:r w:rsidRPr="00531785">
              <w:rPr>
                <w:color w:val="000000"/>
                <w:lang w:val="id-ID"/>
              </w:rPr>
              <w:t xml:space="preserve"> </w:t>
            </w:r>
            <w:proofErr w:type="spellStart"/>
            <w:r w:rsidRPr="00531785">
              <w:rPr>
                <w:color w:val="000000"/>
                <w:lang w:val="id-ID"/>
              </w:rPr>
              <w:t>diplomacy</w:t>
            </w:r>
            <w:proofErr w:type="spellEnd"/>
            <w:r w:rsidRPr="00531785">
              <w:rPr>
                <w:color w:val="000000"/>
                <w:lang w:val="id-ID"/>
              </w:rPr>
              <w:t xml:space="preserve">, </w:t>
            </w:r>
            <w:proofErr w:type="spellStart"/>
            <w:r w:rsidRPr="00531785">
              <w:rPr>
                <w:color w:val="000000"/>
                <w:lang w:val="id-ID"/>
              </w:rPr>
              <w:t>and</w:t>
            </w:r>
            <w:proofErr w:type="spellEnd"/>
            <w:r w:rsidRPr="00531785">
              <w:rPr>
                <w:color w:val="000000"/>
                <w:lang w:val="id-ID"/>
              </w:rPr>
              <w:t xml:space="preserve"> global </w:t>
            </w:r>
            <w:proofErr w:type="spellStart"/>
            <w:r w:rsidRPr="00531785">
              <w:rPr>
                <w:color w:val="000000"/>
                <w:lang w:val="id-ID"/>
              </w:rPr>
              <w:t>partnership</w:t>
            </w:r>
            <w:proofErr w:type="spellEnd"/>
            <w:r w:rsidRPr="00531785">
              <w:rPr>
                <w:color w:val="000000"/>
                <w:lang w:val="id-ID"/>
              </w:rPr>
              <w:t xml:space="preserve"> </w:t>
            </w:r>
            <w:proofErr w:type="spellStart"/>
            <w:r w:rsidRPr="00531785">
              <w:rPr>
                <w:color w:val="000000"/>
                <w:lang w:val="id-ID"/>
              </w:rPr>
              <w:t>formation</w:t>
            </w:r>
            <w:proofErr w:type="spellEnd"/>
            <w:r w:rsidRPr="00531785">
              <w:rPr>
                <w:color w:val="000000"/>
                <w:lang w:val="id-ID"/>
              </w:rPr>
              <w:t xml:space="preserve"> </w:t>
            </w:r>
            <w:proofErr w:type="spellStart"/>
            <w:r w:rsidRPr="00531785">
              <w:rPr>
                <w:color w:val="000000"/>
                <w:lang w:val="id-ID"/>
              </w:rPr>
              <w:t>aligned</w:t>
            </w:r>
            <w:proofErr w:type="spellEnd"/>
            <w:r w:rsidRPr="00531785">
              <w:rPr>
                <w:color w:val="000000"/>
                <w:lang w:val="id-ID"/>
              </w:rPr>
              <w:t xml:space="preserve"> </w:t>
            </w:r>
            <w:proofErr w:type="spellStart"/>
            <w:r w:rsidRPr="00531785">
              <w:rPr>
                <w:color w:val="000000"/>
                <w:lang w:val="id-ID"/>
              </w:rPr>
              <w:t>with</w:t>
            </w:r>
            <w:proofErr w:type="spellEnd"/>
            <w:r w:rsidRPr="00531785">
              <w:rPr>
                <w:color w:val="000000"/>
                <w:lang w:val="id-ID"/>
              </w:rPr>
              <w:t xml:space="preserve"> </w:t>
            </w:r>
            <w:proofErr w:type="spellStart"/>
            <w:r w:rsidRPr="00531785">
              <w:rPr>
                <w:color w:val="000000"/>
                <w:lang w:val="id-ID"/>
              </w:rPr>
              <w:t>sustainable</w:t>
            </w:r>
            <w:proofErr w:type="spellEnd"/>
            <w:r w:rsidRPr="00531785">
              <w:rPr>
                <w:color w:val="000000"/>
                <w:lang w:val="id-ID"/>
              </w:rPr>
              <w:t xml:space="preserve"> </w:t>
            </w:r>
            <w:proofErr w:type="spellStart"/>
            <w:r w:rsidRPr="00531785">
              <w:rPr>
                <w:color w:val="000000"/>
                <w:lang w:val="id-ID"/>
              </w:rPr>
              <w:t>development</w:t>
            </w:r>
            <w:proofErr w:type="spellEnd"/>
            <w:r w:rsidRPr="00531785">
              <w:rPr>
                <w:color w:val="000000"/>
                <w:lang w:val="id-ID"/>
              </w:rPr>
              <w:t xml:space="preserve"> </w:t>
            </w:r>
            <w:proofErr w:type="spellStart"/>
            <w:r w:rsidRPr="00531785">
              <w:rPr>
                <w:color w:val="000000"/>
                <w:lang w:val="id-ID"/>
              </w:rPr>
              <w:t>agendas</w:t>
            </w:r>
            <w:proofErr w:type="spellEnd"/>
            <w:r w:rsidRPr="00531785">
              <w:rPr>
                <w:color w:val="000000"/>
                <w:lang w:val="id-ID"/>
              </w:rPr>
              <w:t xml:space="preserve">. A </w:t>
            </w:r>
            <w:proofErr w:type="spellStart"/>
            <w:r w:rsidRPr="00531785">
              <w:rPr>
                <w:color w:val="000000"/>
                <w:lang w:val="id-ID"/>
              </w:rPr>
              <w:t>qualitative</w:t>
            </w:r>
            <w:proofErr w:type="spellEnd"/>
            <w:r w:rsidRPr="00531785">
              <w:rPr>
                <w:color w:val="000000"/>
                <w:lang w:val="id-ID"/>
              </w:rPr>
              <w:t xml:space="preserve"> </w:t>
            </w:r>
            <w:proofErr w:type="spellStart"/>
            <w:r w:rsidRPr="00531785">
              <w:rPr>
                <w:color w:val="000000"/>
                <w:lang w:val="id-ID"/>
              </w:rPr>
              <w:t>research</w:t>
            </w:r>
            <w:proofErr w:type="spellEnd"/>
            <w:r w:rsidRPr="00531785">
              <w:rPr>
                <w:color w:val="000000"/>
                <w:lang w:val="id-ID"/>
              </w:rPr>
              <w:t xml:space="preserve"> </w:t>
            </w:r>
            <w:proofErr w:type="spellStart"/>
            <w:r w:rsidRPr="00531785">
              <w:rPr>
                <w:color w:val="000000"/>
                <w:lang w:val="id-ID"/>
              </w:rPr>
              <w:t>approach</w:t>
            </w:r>
            <w:proofErr w:type="spellEnd"/>
            <w:r w:rsidRPr="00531785">
              <w:rPr>
                <w:color w:val="000000"/>
                <w:lang w:val="id-ID"/>
              </w:rPr>
              <w:t xml:space="preserve"> </w:t>
            </w:r>
            <w:proofErr w:type="spellStart"/>
            <w:r w:rsidRPr="00531785">
              <w:rPr>
                <w:color w:val="000000"/>
                <w:lang w:val="id-ID"/>
              </w:rPr>
              <w:t>is</w:t>
            </w:r>
            <w:proofErr w:type="spellEnd"/>
            <w:r w:rsidRPr="00531785">
              <w:rPr>
                <w:color w:val="000000"/>
                <w:lang w:val="id-ID"/>
              </w:rPr>
              <w:t xml:space="preserve"> </w:t>
            </w:r>
            <w:proofErr w:type="spellStart"/>
            <w:r w:rsidRPr="00531785">
              <w:rPr>
                <w:color w:val="000000"/>
                <w:lang w:val="id-ID"/>
              </w:rPr>
              <w:t>employed</w:t>
            </w:r>
            <w:proofErr w:type="spellEnd"/>
            <w:r w:rsidRPr="00531785">
              <w:rPr>
                <w:color w:val="000000"/>
                <w:lang w:val="id-ID"/>
              </w:rPr>
              <w:t xml:space="preserve"> </w:t>
            </w:r>
            <w:proofErr w:type="spellStart"/>
            <w:r w:rsidRPr="00531785">
              <w:rPr>
                <w:color w:val="000000"/>
                <w:lang w:val="id-ID"/>
              </w:rPr>
              <w:t>using</w:t>
            </w:r>
            <w:proofErr w:type="spellEnd"/>
            <w:r w:rsidRPr="00531785">
              <w:rPr>
                <w:color w:val="000000"/>
                <w:lang w:val="id-ID"/>
              </w:rPr>
              <w:t xml:space="preserve"> </w:t>
            </w:r>
            <w:proofErr w:type="spellStart"/>
            <w:r w:rsidRPr="00531785">
              <w:rPr>
                <w:color w:val="000000"/>
                <w:lang w:val="id-ID"/>
              </w:rPr>
              <w:t>geopolitical</w:t>
            </w:r>
            <w:proofErr w:type="spellEnd"/>
            <w:r w:rsidRPr="00531785">
              <w:rPr>
                <w:color w:val="000000"/>
                <w:lang w:val="id-ID"/>
              </w:rPr>
              <w:t xml:space="preserve"> </w:t>
            </w:r>
            <w:proofErr w:type="spellStart"/>
            <w:r w:rsidRPr="00531785">
              <w:rPr>
                <w:color w:val="000000"/>
                <w:lang w:val="id-ID"/>
              </w:rPr>
              <w:t>and</w:t>
            </w:r>
            <w:proofErr w:type="spellEnd"/>
            <w:r w:rsidRPr="00531785">
              <w:rPr>
                <w:color w:val="000000"/>
                <w:lang w:val="id-ID"/>
              </w:rPr>
              <w:t xml:space="preserve"> </w:t>
            </w:r>
            <w:proofErr w:type="spellStart"/>
            <w:r w:rsidRPr="00531785">
              <w:rPr>
                <w:color w:val="000000"/>
                <w:lang w:val="id-ID"/>
              </w:rPr>
              <w:t>spatial</w:t>
            </w:r>
            <w:proofErr w:type="spellEnd"/>
            <w:r w:rsidRPr="00531785">
              <w:rPr>
                <w:color w:val="000000"/>
                <w:lang w:val="id-ID"/>
              </w:rPr>
              <w:t xml:space="preserve"> </w:t>
            </w:r>
            <w:proofErr w:type="spellStart"/>
            <w:r w:rsidRPr="00531785">
              <w:rPr>
                <w:color w:val="000000"/>
                <w:lang w:val="id-ID"/>
              </w:rPr>
              <w:t>analysis</w:t>
            </w:r>
            <w:proofErr w:type="spellEnd"/>
            <w:r w:rsidRPr="00531785">
              <w:rPr>
                <w:color w:val="000000"/>
                <w:lang w:val="id-ID"/>
              </w:rPr>
              <w:t xml:space="preserve">, </w:t>
            </w:r>
            <w:proofErr w:type="spellStart"/>
            <w:r w:rsidRPr="00531785">
              <w:rPr>
                <w:color w:val="000000"/>
                <w:lang w:val="id-ID"/>
              </w:rPr>
              <w:t>supported</w:t>
            </w:r>
            <w:proofErr w:type="spellEnd"/>
            <w:r w:rsidRPr="00531785">
              <w:rPr>
                <w:color w:val="000000"/>
                <w:lang w:val="id-ID"/>
              </w:rPr>
              <w:t xml:space="preserve"> </w:t>
            </w:r>
            <w:proofErr w:type="spellStart"/>
            <w:r w:rsidRPr="00531785">
              <w:rPr>
                <w:color w:val="000000"/>
                <w:lang w:val="id-ID"/>
              </w:rPr>
              <w:t>by</w:t>
            </w:r>
            <w:proofErr w:type="spellEnd"/>
            <w:r w:rsidRPr="00531785">
              <w:rPr>
                <w:color w:val="000000"/>
                <w:lang w:val="id-ID"/>
              </w:rPr>
              <w:t xml:space="preserve"> </w:t>
            </w:r>
            <w:proofErr w:type="spellStart"/>
            <w:r w:rsidRPr="00531785">
              <w:rPr>
                <w:color w:val="000000"/>
                <w:lang w:val="id-ID"/>
              </w:rPr>
              <w:t>document</w:t>
            </w:r>
            <w:proofErr w:type="spellEnd"/>
            <w:r w:rsidRPr="00531785">
              <w:rPr>
                <w:color w:val="000000"/>
                <w:lang w:val="id-ID"/>
              </w:rPr>
              <w:t xml:space="preserve"> </w:t>
            </w:r>
            <w:proofErr w:type="spellStart"/>
            <w:r w:rsidRPr="00531785">
              <w:rPr>
                <w:color w:val="000000"/>
                <w:lang w:val="id-ID"/>
              </w:rPr>
              <w:t>analysis</w:t>
            </w:r>
            <w:proofErr w:type="spellEnd"/>
            <w:r w:rsidRPr="00531785">
              <w:rPr>
                <w:color w:val="000000"/>
                <w:lang w:val="id-ID"/>
              </w:rPr>
              <w:t xml:space="preserve">, </w:t>
            </w:r>
            <w:proofErr w:type="spellStart"/>
            <w:r w:rsidRPr="00531785">
              <w:rPr>
                <w:color w:val="000000"/>
                <w:lang w:val="id-ID"/>
              </w:rPr>
              <w:t>field</w:t>
            </w:r>
            <w:proofErr w:type="spellEnd"/>
            <w:r w:rsidRPr="00531785">
              <w:rPr>
                <w:color w:val="000000"/>
                <w:lang w:val="id-ID"/>
              </w:rPr>
              <w:t xml:space="preserve"> </w:t>
            </w:r>
            <w:proofErr w:type="spellStart"/>
            <w:r w:rsidRPr="00531785">
              <w:rPr>
                <w:color w:val="000000"/>
                <w:lang w:val="id-ID"/>
              </w:rPr>
              <w:t>observations</w:t>
            </w:r>
            <w:proofErr w:type="spellEnd"/>
            <w:r w:rsidRPr="00531785">
              <w:rPr>
                <w:color w:val="000000"/>
                <w:lang w:val="id-ID"/>
              </w:rPr>
              <w:t xml:space="preserve"> in </w:t>
            </w:r>
            <w:proofErr w:type="spellStart"/>
            <w:r w:rsidRPr="00531785">
              <w:rPr>
                <w:color w:val="000000"/>
                <w:lang w:val="id-ID"/>
              </w:rPr>
              <w:t>the</w:t>
            </w:r>
            <w:proofErr w:type="spellEnd"/>
            <w:r w:rsidRPr="00531785">
              <w:rPr>
                <w:color w:val="000000"/>
                <w:lang w:val="id-ID"/>
              </w:rPr>
              <w:t xml:space="preserve"> Kuala Lumpur City Centre area, </w:t>
            </w:r>
            <w:proofErr w:type="spellStart"/>
            <w:r w:rsidRPr="00531785">
              <w:rPr>
                <w:color w:val="000000"/>
                <w:lang w:val="id-ID"/>
              </w:rPr>
              <w:t>and</w:t>
            </w:r>
            <w:proofErr w:type="spellEnd"/>
            <w:r w:rsidRPr="00531785">
              <w:rPr>
                <w:color w:val="000000"/>
                <w:lang w:val="id-ID"/>
              </w:rPr>
              <w:t xml:space="preserve"> </w:t>
            </w:r>
            <w:proofErr w:type="spellStart"/>
            <w:r w:rsidRPr="00531785">
              <w:rPr>
                <w:color w:val="000000"/>
                <w:lang w:val="id-ID"/>
              </w:rPr>
              <w:t>interpretation</w:t>
            </w:r>
            <w:proofErr w:type="spellEnd"/>
            <w:r w:rsidRPr="00531785">
              <w:rPr>
                <w:color w:val="000000"/>
                <w:lang w:val="id-ID"/>
              </w:rPr>
              <w:t xml:space="preserve"> </w:t>
            </w:r>
            <w:proofErr w:type="spellStart"/>
            <w:r w:rsidRPr="00531785">
              <w:rPr>
                <w:color w:val="000000"/>
                <w:lang w:val="id-ID"/>
              </w:rPr>
              <w:t>of</w:t>
            </w:r>
            <w:proofErr w:type="spellEnd"/>
            <w:r w:rsidRPr="00531785">
              <w:rPr>
                <w:color w:val="000000"/>
                <w:lang w:val="id-ID"/>
              </w:rPr>
              <w:t xml:space="preserve"> visual </w:t>
            </w:r>
            <w:proofErr w:type="spellStart"/>
            <w:r w:rsidRPr="00531785">
              <w:rPr>
                <w:color w:val="000000"/>
                <w:lang w:val="id-ID"/>
              </w:rPr>
              <w:t>and</w:t>
            </w:r>
            <w:proofErr w:type="spellEnd"/>
            <w:r w:rsidRPr="00531785">
              <w:rPr>
                <w:color w:val="000000"/>
                <w:lang w:val="id-ID"/>
              </w:rPr>
              <w:t xml:space="preserve"> </w:t>
            </w:r>
            <w:proofErr w:type="spellStart"/>
            <w:r w:rsidRPr="00531785">
              <w:rPr>
                <w:color w:val="000000"/>
                <w:lang w:val="id-ID"/>
              </w:rPr>
              <w:t>spatial</w:t>
            </w:r>
            <w:proofErr w:type="spellEnd"/>
            <w:r w:rsidRPr="00531785">
              <w:rPr>
                <w:color w:val="000000"/>
                <w:lang w:val="id-ID"/>
              </w:rPr>
              <w:t xml:space="preserve"> </w:t>
            </w:r>
            <w:proofErr w:type="spellStart"/>
            <w:r w:rsidRPr="00531785">
              <w:rPr>
                <w:color w:val="000000"/>
                <w:lang w:val="id-ID"/>
              </w:rPr>
              <w:t>representations</w:t>
            </w:r>
            <w:proofErr w:type="spellEnd"/>
            <w:r w:rsidRPr="00531785">
              <w:rPr>
                <w:color w:val="000000"/>
                <w:lang w:val="id-ID"/>
              </w:rPr>
              <w:t xml:space="preserve">. The </w:t>
            </w:r>
            <w:proofErr w:type="spellStart"/>
            <w:r w:rsidRPr="00531785">
              <w:rPr>
                <w:color w:val="000000"/>
                <w:lang w:val="id-ID"/>
              </w:rPr>
              <w:t>findings</w:t>
            </w:r>
            <w:proofErr w:type="spellEnd"/>
            <w:r w:rsidRPr="00531785">
              <w:rPr>
                <w:color w:val="000000"/>
                <w:lang w:val="id-ID"/>
              </w:rPr>
              <w:t xml:space="preserve"> </w:t>
            </w:r>
            <w:proofErr w:type="spellStart"/>
            <w:r w:rsidRPr="00531785">
              <w:rPr>
                <w:color w:val="000000"/>
                <w:lang w:val="id-ID"/>
              </w:rPr>
              <w:t>indicate</w:t>
            </w:r>
            <w:proofErr w:type="spellEnd"/>
            <w:r w:rsidRPr="00531785">
              <w:rPr>
                <w:color w:val="000000"/>
                <w:lang w:val="id-ID"/>
              </w:rPr>
              <w:t xml:space="preserve"> </w:t>
            </w:r>
            <w:proofErr w:type="spellStart"/>
            <w:r w:rsidRPr="00531785">
              <w:rPr>
                <w:color w:val="000000"/>
                <w:lang w:val="id-ID"/>
              </w:rPr>
              <w:t>that</w:t>
            </w:r>
            <w:proofErr w:type="spellEnd"/>
            <w:r w:rsidRPr="00531785">
              <w:rPr>
                <w:color w:val="000000"/>
                <w:lang w:val="id-ID"/>
              </w:rPr>
              <w:t xml:space="preserve"> </w:t>
            </w:r>
            <w:proofErr w:type="spellStart"/>
            <w:r w:rsidRPr="00531785">
              <w:rPr>
                <w:color w:val="000000"/>
                <w:lang w:val="id-ID"/>
              </w:rPr>
              <w:t>the</w:t>
            </w:r>
            <w:proofErr w:type="spellEnd"/>
            <w:r w:rsidRPr="00531785">
              <w:rPr>
                <w:color w:val="000000"/>
                <w:lang w:val="id-ID"/>
              </w:rPr>
              <w:t xml:space="preserve"> </w:t>
            </w:r>
            <w:proofErr w:type="spellStart"/>
            <w:r w:rsidRPr="00531785">
              <w:rPr>
                <w:color w:val="000000"/>
                <w:lang w:val="id-ID"/>
              </w:rPr>
              <w:t>Petronas</w:t>
            </w:r>
            <w:proofErr w:type="spellEnd"/>
            <w:r w:rsidRPr="00531785">
              <w:rPr>
                <w:color w:val="000000"/>
                <w:lang w:val="id-ID"/>
              </w:rPr>
              <w:t xml:space="preserve"> </w:t>
            </w:r>
            <w:proofErr w:type="spellStart"/>
            <w:r w:rsidRPr="00531785">
              <w:rPr>
                <w:color w:val="000000"/>
                <w:lang w:val="id-ID"/>
              </w:rPr>
              <w:t>Twin</w:t>
            </w:r>
            <w:proofErr w:type="spellEnd"/>
            <w:r w:rsidRPr="00531785">
              <w:rPr>
                <w:color w:val="000000"/>
                <w:lang w:val="id-ID"/>
              </w:rPr>
              <w:t xml:space="preserve"> </w:t>
            </w:r>
            <w:proofErr w:type="spellStart"/>
            <w:r w:rsidRPr="00531785">
              <w:rPr>
                <w:color w:val="000000"/>
                <w:lang w:val="id-ID"/>
              </w:rPr>
              <w:t>Towers</w:t>
            </w:r>
            <w:proofErr w:type="spellEnd"/>
            <w:r w:rsidRPr="00531785">
              <w:rPr>
                <w:color w:val="000000"/>
                <w:lang w:val="id-ID"/>
              </w:rPr>
              <w:t xml:space="preserve"> </w:t>
            </w:r>
            <w:proofErr w:type="spellStart"/>
            <w:r w:rsidRPr="00531785">
              <w:rPr>
                <w:color w:val="000000"/>
                <w:lang w:val="id-ID"/>
              </w:rPr>
              <w:t>operate</w:t>
            </w:r>
            <w:proofErr w:type="spellEnd"/>
            <w:r w:rsidRPr="00531785">
              <w:rPr>
                <w:color w:val="000000"/>
                <w:lang w:val="id-ID"/>
              </w:rPr>
              <w:t xml:space="preserve"> as a </w:t>
            </w:r>
            <w:proofErr w:type="spellStart"/>
            <w:r w:rsidRPr="00531785">
              <w:rPr>
                <w:color w:val="000000"/>
                <w:lang w:val="id-ID"/>
              </w:rPr>
              <w:t>form</w:t>
            </w:r>
            <w:proofErr w:type="spellEnd"/>
            <w:r w:rsidRPr="00531785">
              <w:rPr>
                <w:color w:val="000000"/>
                <w:lang w:val="id-ID"/>
              </w:rPr>
              <w:t xml:space="preserve"> </w:t>
            </w:r>
            <w:proofErr w:type="spellStart"/>
            <w:r w:rsidRPr="00531785">
              <w:rPr>
                <w:color w:val="000000"/>
                <w:lang w:val="id-ID"/>
              </w:rPr>
              <w:t>of</w:t>
            </w:r>
            <w:proofErr w:type="spellEnd"/>
            <w:r w:rsidRPr="00531785">
              <w:rPr>
                <w:color w:val="000000"/>
                <w:lang w:val="id-ID"/>
              </w:rPr>
              <w:t xml:space="preserve"> </w:t>
            </w:r>
            <w:proofErr w:type="spellStart"/>
            <w:r w:rsidRPr="00531785">
              <w:rPr>
                <w:color w:val="000000"/>
                <w:lang w:val="id-ID"/>
              </w:rPr>
              <w:t>geopolitical</w:t>
            </w:r>
            <w:proofErr w:type="spellEnd"/>
            <w:r w:rsidRPr="00531785">
              <w:rPr>
                <w:color w:val="000000"/>
                <w:lang w:val="id-ID"/>
              </w:rPr>
              <w:t xml:space="preserve"> </w:t>
            </w:r>
            <w:proofErr w:type="spellStart"/>
            <w:r w:rsidRPr="00531785">
              <w:rPr>
                <w:color w:val="000000"/>
                <w:lang w:val="id-ID"/>
              </w:rPr>
              <w:t>language</w:t>
            </w:r>
            <w:proofErr w:type="spellEnd"/>
            <w:r w:rsidRPr="00531785">
              <w:rPr>
                <w:color w:val="000000"/>
                <w:lang w:val="id-ID"/>
              </w:rPr>
              <w:t xml:space="preserve"> </w:t>
            </w:r>
            <w:proofErr w:type="spellStart"/>
            <w:r w:rsidRPr="00531785">
              <w:rPr>
                <w:color w:val="000000"/>
                <w:lang w:val="id-ID"/>
              </w:rPr>
              <w:t>that</w:t>
            </w:r>
            <w:proofErr w:type="spellEnd"/>
            <w:r w:rsidRPr="00531785">
              <w:rPr>
                <w:color w:val="000000"/>
                <w:lang w:val="id-ID"/>
              </w:rPr>
              <w:t xml:space="preserve"> </w:t>
            </w:r>
            <w:proofErr w:type="spellStart"/>
            <w:r w:rsidRPr="00531785">
              <w:rPr>
                <w:color w:val="000000"/>
                <w:lang w:val="id-ID"/>
              </w:rPr>
              <w:t>communicates</w:t>
            </w:r>
            <w:proofErr w:type="spellEnd"/>
            <w:r w:rsidRPr="00531785">
              <w:rPr>
                <w:color w:val="000000"/>
                <w:lang w:val="id-ID"/>
              </w:rPr>
              <w:t xml:space="preserve"> </w:t>
            </w:r>
            <w:proofErr w:type="spellStart"/>
            <w:r w:rsidRPr="00531785">
              <w:rPr>
                <w:color w:val="000000"/>
                <w:lang w:val="id-ID"/>
              </w:rPr>
              <w:t>state</w:t>
            </w:r>
            <w:proofErr w:type="spellEnd"/>
            <w:r w:rsidRPr="00531785">
              <w:rPr>
                <w:color w:val="000000"/>
                <w:lang w:val="id-ID"/>
              </w:rPr>
              <w:t xml:space="preserve"> </w:t>
            </w:r>
            <w:proofErr w:type="spellStart"/>
            <w:r w:rsidRPr="00531785">
              <w:rPr>
                <w:color w:val="000000"/>
                <w:lang w:val="id-ID"/>
              </w:rPr>
              <w:t>capacity</w:t>
            </w:r>
            <w:proofErr w:type="spellEnd"/>
            <w:r w:rsidRPr="00531785">
              <w:rPr>
                <w:color w:val="000000"/>
                <w:lang w:val="id-ID"/>
              </w:rPr>
              <w:t xml:space="preserve">, </w:t>
            </w:r>
            <w:proofErr w:type="spellStart"/>
            <w:r w:rsidRPr="00531785">
              <w:rPr>
                <w:color w:val="000000"/>
                <w:lang w:val="id-ID"/>
              </w:rPr>
              <w:t>energy</w:t>
            </w:r>
            <w:proofErr w:type="spellEnd"/>
            <w:r w:rsidRPr="00531785">
              <w:rPr>
                <w:color w:val="000000"/>
                <w:lang w:val="id-ID"/>
              </w:rPr>
              <w:t xml:space="preserve"> </w:t>
            </w:r>
            <w:proofErr w:type="spellStart"/>
            <w:r w:rsidRPr="00531785">
              <w:rPr>
                <w:color w:val="000000"/>
                <w:lang w:val="id-ID"/>
              </w:rPr>
              <w:t>sovereignty</w:t>
            </w:r>
            <w:proofErr w:type="spellEnd"/>
            <w:r w:rsidRPr="00531785">
              <w:rPr>
                <w:color w:val="000000"/>
                <w:lang w:val="id-ID"/>
              </w:rPr>
              <w:t xml:space="preserve">, </w:t>
            </w:r>
            <w:proofErr w:type="spellStart"/>
            <w:r w:rsidRPr="00531785">
              <w:rPr>
                <w:color w:val="000000"/>
                <w:lang w:val="id-ID"/>
              </w:rPr>
              <w:t>and</w:t>
            </w:r>
            <w:proofErr w:type="spellEnd"/>
            <w:r w:rsidRPr="00531785">
              <w:rPr>
                <w:color w:val="000000"/>
                <w:lang w:val="id-ID"/>
              </w:rPr>
              <w:t xml:space="preserve"> </w:t>
            </w:r>
            <w:proofErr w:type="spellStart"/>
            <w:r w:rsidRPr="00531785">
              <w:rPr>
                <w:color w:val="000000"/>
                <w:lang w:val="id-ID"/>
              </w:rPr>
              <w:t>diplomatic</w:t>
            </w:r>
            <w:proofErr w:type="spellEnd"/>
            <w:r w:rsidRPr="00531785">
              <w:rPr>
                <w:color w:val="000000"/>
                <w:lang w:val="id-ID"/>
              </w:rPr>
              <w:t xml:space="preserve"> </w:t>
            </w:r>
            <w:proofErr w:type="spellStart"/>
            <w:r w:rsidRPr="00531785">
              <w:rPr>
                <w:color w:val="000000"/>
                <w:lang w:val="id-ID"/>
              </w:rPr>
              <w:t>readiness</w:t>
            </w:r>
            <w:proofErr w:type="spellEnd"/>
            <w:r w:rsidRPr="00531785">
              <w:rPr>
                <w:color w:val="000000"/>
                <w:lang w:val="id-ID"/>
              </w:rPr>
              <w:t xml:space="preserve"> </w:t>
            </w:r>
            <w:proofErr w:type="spellStart"/>
            <w:r w:rsidRPr="00531785">
              <w:rPr>
                <w:color w:val="000000"/>
                <w:lang w:val="id-ID"/>
              </w:rPr>
              <w:t>through</w:t>
            </w:r>
            <w:proofErr w:type="spellEnd"/>
            <w:r w:rsidRPr="00531785">
              <w:rPr>
                <w:color w:val="000000"/>
                <w:lang w:val="id-ID"/>
              </w:rPr>
              <w:t xml:space="preserve"> </w:t>
            </w:r>
            <w:proofErr w:type="spellStart"/>
            <w:r w:rsidRPr="00531785">
              <w:rPr>
                <w:color w:val="000000"/>
                <w:lang w:val="id-ID"/>
              </w:rPr>
              <w:t>symbolic</w:t>
            </w:r>
            <w:proofErr w:type="spellEnd"/>
            <w:r w:rsidRPr="00531785">
              <w:rPr>
                <w:color w:val="000000"/>
                <w:lang w:val="id-ID"/>
              </w:rPr>
              <w:t xml:space="preserve"> </w:t>
            </w:r>
            <w:proofErr w:type="spellStart"/>
            <w:r w:rsidRPr="00531785">
              <w:rPr>
                <w:color w:val="000000"/>
                <w:lang w:val="id-ID"/>
              </w:rPr>
              <w:t>space</w:t>
            </w:r>
            <w:proofErr w:type="spellEnd"/>
            <w:r w:rsidRPr="00531785">
              <w:rPr>
                <w:color w:val="000000"/>
                <w:lang w:val="id-ID"/>
              </w:rPr>
              <w:t xml:space="preserve"> </w:t>
            </w:r>
            <w:proofErr w:type="spellStart"/>
            <w:r w:rsidRPr="00531785">
              <w:rPr>
                <w:color w:val="000000"/>
                <w:lang w:val="id-ID"/>
              </w:rPr>
              <w:t>and</w:t>
            </w:r>
            <w:proofErr w:type="spellEnd"/>
            <w:r w:rsidRPr="00531785">
              <w:rPr>
                <w:color w:val="000000"/>
                <w:lang w:val="id-ID"/>
              </w:rPr>
              <w:t xml:space="preserve"> global </w:t>
            </w:r>
            <w:proofErr w:type="spellStart"/>
            <w:r w:rsidRPr="00531785">
              <w:rPr>
                <w:color w:val="000000"/>
                <w:lang w:val="id-ID"/>
              </w:rPr>
              <w:t>visibility</w:t>
            </w:r>
            <w:proofErr w:type="spellEnd"/>
            <w:r w:rsidRPr="00531785">
              <w:rPr>
                <w:color w:val="000000"/>
                <w:lang w:val="id-ID"/>
              </w:rPr>
              <w:t xml:space="preserve">. </w:t>
            </w:r>
            <w:proofErr w:type="spellStart"/>
            <w:r w:rsidRPr="00531785">
              <w:rPr>
                <w:color w:val="000000"/>
                <w:lang w:val="id-ID"/>
              </w:rPr>
              <w:t>Their</w:t>
            </w:r>
            <w:proofErr w:type="spellEnd"/>
            <w:r w:rsidRPr="00531785">
              <w:rPr>
                <w:color w:val="000000"/>
                <w:lang w:val="id-ID"/>
              </w:rPr>
              <w:t xml:space="preserve"> </w:t>
            </w:r>
            <w:proofErr w:type="spellStart"/>
            <w:r w:rsidRPr="00531785">
              <w:rPr>
                <w:color w:val="000000"/>
                <w:lang w:val="id-ID"/>
              </w:rPr>
              <w:t>integration</w:t>
            </w:r>
            <w:proofErr w:type="spellEnd"/>
            <w:r w:rsidRPr="00531785">
              <w:rPr>
                <w:color w:val="000000"/>
                <w:lang w:val="id-ID"/>
              </w:rPr>
              <w:t xml:space="preserve"> </w:t>
            </w:r>
            <w:proofErr w:type="spellStart"/>
            <w:r w:rsidRPr="00531785">
              <w:rPr>
                <w:color w:val="000000"/>
                <w:lang w:val="id-ID"/>
              </w:rPr>
              <w:t>with</w:t>
            </w:r>
            <w:proofErr w:type="spellEnd"/>
            <w:r w:rsidRPr="00531785">
              <w:rPr>
                <w:color w:val="000000"/>
                <w:lang w:val="id-ID"/>
              </w:rPr>
              <w:t xml:space="preserve"> PETRONAS, </w:t>
            </w:r>
            <w:proofErr w:type="spellStart"/>
            <w:r w:rsidRPr="00531785">
              <w:rPr>
                <w:color w:val="000000"/>
                <w:lang w:val="id-ID"/>
              </w:rPr>
              <w:t>international</w:t>
            </w:r>
            <w:proofErr w:type="spellEnd"/>
            <w:r w:rsidRPr="00531785">
              <w:rPr>
                <w:color w:val="000000"/>
                <w:lang w:val="id-ID"/>
              </w:rPr>
              <w:t xml:space="preserve"> </w:t>
            </w:r>
            <w:proofErr w:type="spellStart"/>
            <w:r w:rsidRPr="00531785">
              <w:rPr>
                <w:color w:val="000000"/>
                <w:lang w:val="id-ID"/>
              </w:rPr>
              <w:t>business</w:t>
            </w:r>
            <w:proofErr w:type="spellEnd"/>
            <w:r w:rsidRPr="00531785">
              <w:rPr>
                <w:color w:val="000000"/>
                <w:lang w:val="id-ID"/>
              </w:rPr>
              <w:t xml:space="preserve"> </w:t>
            </w:r>
            <w:proofErr w:type="spellStart"/>
            <w:r w:rsidRPr="00531785">
              <w:rPr>
                <w:color w:val="000000"/>
                <w:lang w:val="id-ID"/>
              </w:rPr>
              <w:t>networks</w:t>
            </w:r>
            <w:proofErr w:type="spellEnd"/>
            <w:r w:rsidRPr="00531785">
              <w:rPr>
                <w:color w:val="000000"/>
                <w:lang w:val="id-ID"/>
              </w:rPr>
              <w:t xml:space="preserve">, </w:t>
            </w:r>
            <w:proofErr w:type="spellStart"/>
            <w:r w:rsidRPr="00531785">
              <w:rPr>
                <w:color w:val="000000"/>
                <w:lang w:val="id-ID"/>
              </w:rPr>
              <w:t>and</w:t>
            </w:r>
            <w:proofErr w:type="spellEnd"/>
            <w:r w:rsidRPr="00531785">
              <w:rPr>
                <w:color w:val="000000"/>
                <w:lang w:val="id-ID"/>
              </w:rPr>
              <w:t xml:space="preserve"> multilateral </w:t>
            </w:r>
            <w:proofErr w:type="spellStart"/>
            <w:r w:rsidRPr="00531785">
              <w:rPr>
                <w:color w:val="000000"/>
                <w:lang w:val="id-ID"/>
              </w:rPr>
              <w:t>forums</w:t>
            </w:r>
            <w:proofErr w:type="spellEnd"/>
            <w:r w:rsidRPr="00531785">
              <w:rPr>
                <w:color w:val="000000"/>
                <w:lang w:val="id-ID"/>
              </w:rPr>
              <w:t xml:space="preserve"> </w:t>
            </w:r>
            <w:proofErr w:type="spellStart"/>
            <w:r w:rsidRPr="00531785">
              <w:rPr>
                <w:color w:val="000000"/>
                <w:lang w:val="id-ID"/>
              </w:rPr>
              <w:t>strengthens</w:t>
            </w:r>
            <w:proofErr w:type="spellEnd"/>
            <w:r w:rsidRPr="00531785">
              <w:rPr>
                <w:color w:val="000000"/>
                <w:lang w:val="id-ID"/>
              </w:rPr>
              <w:t xml:space="preserve"> </w:t>
            </w:r>
            <w:proofErr w:type="spellStart"/>
            <w:r w:rsidRPr="00531785">
              <w:rPr>
                <w:color w:val="000000"/>
                <w:lang w:val="id-ID"/>
              </w:rPr>
              <w:t>Malaysia’s</w:t>
            </w:r>
            <w:proofErr w:type="spellEnd"/>
            <w:r w:rsidRPr="00531785">
              <w:rPr>
                <w:color w:val="000000"/>
                <w:lang w:val="id-ID"/>
              </w:rPr>
              <w:t xml:space="preserve"> </w:t>
            </w:r>
            <w:proofErr w:type="spellStart"/>
            <w:r w:rsidRPr="00531785">
              <w:rPr>
                <w:color w:val="000000"/>
                <w:lang w:val="id-ID"/>
              </w:rPr>
              <w:t>legitimacy</w:t>
            </w:r>
            <w:proofErr w:type="spellEnd"/>
            <w:r w:rsidRPr="00531785">
              <w:rPr>
                <w:color w:val="000000"/>
                <w:lang w:val="id-ID"/>
              </w:rPr>
              <w:t xml:space="preserve">, </w:t>
            </w:r>
            <w:proofErr w:type="spellStart"/>
            <w:r w:rsidRPr="00531785">
              <w:rPr>
                <w:color w:val="000000"/>
                <w:lang w:val="id-ID"/>
              </w:rPr>
              <w:t>international</w:t>
            </w:r>
            <w:proofErr w:type="spellEnd"/>
            <w:r w:rsidRPr="00531785">
              <w:rPr>
                <w:color w:val="000000"/>
                <w:lang w:val="id-ID"/>
              </w:rPr>
              <w:t xml:space="preserve"> </w:t>
            </w:r>
            <w:proofErr w:type="spellStart"/>
            <w:r w:rsidRPr="00531785">
              <w:rPr>
                <w:color w:val="000000"/>
                <w:lang w:val="id-ID"/>
              </w:rPr>
              <w:t>trust</w:t>
            </w:r>
            <w:proofErr w:type="spellEnd"/>
            <w:r w:rsidRPr="00531785">
              <w:rPr>
                <w:color w:val="000000"/>
                <w:lang w:val="id-ID"/>
              </w:rPr>
              <w:t xml:space="preserve">, </w:t>
            </w:r>
            <w:proofErr w:type="spellStart"/>
            <w:r w:rsidRPr="00531785">
              <w:rPr>
                <w:color w:val="000000"/>
                <w:lang w:val="id-ID"/>
              </w:rPr>
              <w:t>and</w:t>
            </w:r>
            <w:proofErr w:type="spellEnd"/>
            <w:r w:rsidRPr="00531785">
              <w:rPr>
                <w:color w:val="000000"/>
                <w:lang w:val="id-ID"/>
              </w:rPr>
              <w:t xml:space="preserve"> </w:t>
            </w:r>
            <w:proofErr w:type="spellStart"/>
            <w:r w:rsidRPr="00531785">
              <w:rPr>
                <w:color w:val="000000"/>
                <w:lang w:val="id-ID"/>
              </w:rPr>
              <w:t>role</w:t>
            </w:r>
            <w:proofErr w:type="spellEnd"/>
            <w:r w:rsidRPr="00531785">
              <w:rPr>
                <w:color w:val="000000"/>
                <w:lang w:val="id-ID"/>
              </w:rPr>
              <w:t xml:space="preserve"> in regional </w:t>
            </w:r>
            <w:proofErr w:type="spellStart"/>
            <w:r w:rsidRPr="00531785">
              <w:rPr>
                <w:color w:val="000000"/>
                <w:lang w:val="id-ID"/>
              </w:rPr>
              <w:t>cooperation</w:t>
            </w:r>
            <w:proofErr w:type="spellEnd"/>
            <w:r w:rsidRPr="00531785">
              <w:rPr>
                <w:color w:val="000000"/>
                <w:lang w:val="id-ID"/>
              </w:rPr>
              <w:t xml:space="preserve">, </w:t>
            </w:r>
            <w:proofErr w:type="spellStart"/>
            <w:r w:rsidRPr="00531785">
              <w:rPr>
                <w:color w:val="000000"/>
                <w:lang w:val="id-ID"/>
              </w:rPr>
              <w:t>particularly</w:t>
            </w:r>
            <w:proofErr w:type="spellEnd"/>
            <w:r w:rsidRPr="00531785">
              <w:rPr>
                <w:color w:val="000000"/>
                <w:lang w:val="id-ID"/>
              </w:rPr>
              <w:t xml:space="preserve"> </w:t>
            </w:r>
            <w:proofErr w:type="spellStart"/>
            <w:r w:rsidRPr="00531785">
              <w:rPr>
                <w:color w:val="000000"/>
                <w:lang w:val="id-ID"/>
              </w:rPr>
              <w:t>within</w:t>
            </w:r>
            <w:proofErr w:type="spellEnd"/>
            <w:r w:rsidRPr="00531785">
              <w:rPr>
                <w:color w:val="000000"/>
                <w:lang w:val="id-ID"/>
              </w:rPr>
              <w:t xml:space="preserve"> </w:t>
            </w:r>
            <w:proofErr w:type="spellStart"/>
            <w:r w:rsidRPr="00531785">
              <w:rPr>
                <w:color w:val="000000"/>
                <w:lang w:val="id-ID"/>
              </w:rPr>
              <w:t>the</w:t>
            </w:r>
            <w:proofErr w:type="spellEnd"/>
            <w:r w:rsidRPr="00531785">
              <w:rPr>
                <w:color w:val="000000"/>
                <w:lang w:val="id-ID"/>
              </w:rPr>
              <w:t xml:space="preserve"> </w:t>
            </w:r>
            <w:proofErr w:type="spellStart"/>
            <w:r w:rsidRPr="00531785">
              <w:rPr>
                <w:color w:val="000000"/>
                <w:lang w:val="id-ID"/>
              </w:rPr>
              <w:t>framework</w:t>
            </w:r>
            <w:proofErr w:type="spellEnd"/>
            <w:r w:rsidRPr="00531785">
              <w:rPr>
                <w:color w:val="000000"/>
                <w:lang w:val="id-ID"/>
              </w:rPr>
              <w:t xml:space="preserve"> </w:t>
            </w:r>
            <w:proofErr w:type="spellStart"/>
            <w:r w:rsidRPr="00531785">
              <w:rPr>
                <w:color w:val="000000"/>
                <w:lang w:val="id-ID"/>
              </w:rPr>
              <w:t>of</w:t>
            </w:r>
            <w:proofErr w:type="spellEnd"/>
            <w:r w:rsidRPr="00531785">
              <w:rPr>
                <w:color w:val="000000"/>
                <w:lang w:val="id-ID"/>
              </w:rPr>
              <w:t xml:space="preserve"> SDG 17 </w:t>
            </w:r>
            <w:proofErr w:type="spellStart"/>
            <w:r w:rsidRPr="00531785">
              <w:rPr>
                <w:color w:val="000000"/>
                <w:lang w:val="id-ID"/>
              </w:rPr>
              <w:t>on</w:t>
            </w:r>
            <w:proofErr w:type="spellEnd"/>
            <w:r w:rsidRPr="00531785">
              <w:rPr>
                <w:color w:val="000000"/>
                <w:lang w:val="id-ID"/>
              </w:rPr>
              <w:t xml:space="preserve"> global </w:t>
            </w:r>
            <w:proofErr w:type="spellStart"/>
            <w:r w:rsidRPr="00531785">
              <w:rPr>
                <w:color w:val="000000"/>
                <w:lang w:val="id-ID"/>
              </w:rPr>
              <w:t>partnerships</w:t>
            </w:r>
            <w:proofErr w:type="spellEnd"/>
            <w:r w:rsidRPr="00531785">
              <w:rPr>
                <w:color w:val="000000"/>
                <w:lang w:val="id-ID"/>
              </w:rPr>
              <w:t xml:space="preserve">. The study </w:t>
            </w:r>
            <w:proofErr w:type="spellStart"/>
            <w:r w:rsidRPr="00531785">
              <w:rPr>
                <w:color w:val="000000"/>
                <w:lang w:val="id-ID"/>
              </w:rPr>
              <w:t>concludes</w:t>
            </w:r>
            <w:proofErr w:type="spellEnd"/>
            <w:r w:rsidRPr="00531785">
              <w:rPr>
                <w:color w:val="000000"/>
                <w:lang w:val="id-ID"/>
              </w:rPr>
              <w:t xml:space="preserve"> </w:t>
            </w:r>
            <w:proofErr w:type="spellStart"/>
            <w:r w:rsidRPr="00531785">
              <w:rPr>
                <w:color w:val="000000"/>
                <w:lang w:val="id-ID"/>
              </w:rPr>
              <w:t>that</w:t>
            </w:r>
            <w:proofErr w:type="spellEnd"/>
            <w:r w:rsidRPr="00531785">
              <w:rPr>
                <w:color w:val="000000"/>
                <w:lang w:val="id-ID"/>
              </w:rPr>
              <w:t xml:space="preserve"> </w:t>
            </w:r>
            <w:proofErr w:type="spellStart"/>
            <w:r w:rsidRPr="00531785">
              <w:rPr>
                <w:color w:val="000000"/>
                <w:lang w:val="id-ID"/>
              </w:rPr>
              <w:t>iconic</w:t>
            </w:r>
            <w:proofErr w:type="spellEnd"/>
            <w:r w:rsidRPr="00531785">
              <w:rPr>
                <w:color w:val="000000"/>
                <w:lang w:val="id-ID"/>
              </w:rPr>
              <w:t xml:space="preserve"> urban </w:t>
            </w:r>
            <w:proofErr w:type="spellStart"/>
            <w:r w:rsidRPr="00531785">
              <w:rPr>
                <w:color w:val="000000"/>
                <w:lang w:val="id-ID"/>
              </w:rPr>
              <w:t>architecture</w:t>
            </w:r>
            <w:proofErr w:type="spellEnd"/>
            <w:r w:rsidRPr="00531785">
              <w:rPr>
                <w:color w:val="000000"/>
                <w:lang w:val="id-ID"/>
              </w:rPr>
              <w:t xml:space="preserve"> </w:t>
            </w:r>
            <w:proofErr w:type="spellStart"/>
            <w:r w:rsidRPr="00531785">
              <w:rPr>
                <w:color w:val="000000"/>
                <w:lang w:val="id-ID"/>
              </w:rPr>
              <w:t>can</w:t>
            </w:r>
            <w:proofErr w:type="spellEnd"/>
            <w:r w:rsidRPr="00531785">
              <w:rPr>
                <w:color w:val="000000"/>
                <w:lang w:val="id-ID"/>
              </w:rPr>
              <w:t xml:space="preserve"> </w:t>
            </w:r>
            <w:proofErr w:type="spellStart"/>
            <w:r w:rsidRPr="00531785">
              <w:rPr>
                <w:color w:val="000000"/>
                <w:lang w:val="id-ID"/>
              </w:rPr>
              <w:t>function</w:t>
            </w:r>
            <w:proofErr w:type="spellEnd"/>
            <w:r w:rsidRPr="00531785">
              <w:rPr>
                <w:color w:val="000000"/>
                <w:lang w:val="id-ID"/>
              </w:rPr>
              <w:t xml:space="preserve"> as a </w:t>
            </w:r>
            <w:proofErr w:type="spellStart"/>
            <w:r w:rsidRPr="00531785">
              <w:rPr>
                <w:color w:val="000000"/>
                <w:lang w:val="id-ID"/>
              </w:rPr>
              <w:t>strategic</w:t>
            </w:r>
            <w:proofErr w:type="spellEnd"/>
            <w:r w:rsidRPr="00531785">
              <w:rPr>
                <w:color w:val="000000"/>
                <w:lang w:val="id-ID"/>
              </w:rPr>
              <w:t xml:space="preserve"> </w:t>
            </w:r>
            <w:proofErr w:type="spellStart"/>
            <w:r w:rsidRPr="00531785">
              <w:rPr>
                <w:color w:val="000000"/>
                <w:lang w:val="id-ID"/>
              </w:rPr>
              <w:t>geopolitical</w:t>
            </w:r>
            <w:proofErr w:type="spellEnd"/>
            <w:r w:rsidRPr="00531785">
              <w:rPr>
                <w:color w:val="000000"/>
                <w:lang w:val="id-ID"/>
              </w:rPr>
              <w:t xml:space="preserve"> </w:t>
            </w:r>
            <w:proofErr w:type="spellStart"/>
            <w:r w:rsidRPr="00531785">
              <w:rPr>
                <w:color w:val="000000"/>
                <w:lang w:val="id-ID"/>
              </w:rPr>
              <w:t>asset</w:t>
            </w:r>
            <w:proofErr w:type="spellEnd"/>
            <w:r w:rsidRPr="00531785">
              <w:rPr>
                <w:color w:val="000000"/>
                <w:lang w:val="id-ID"/>
              </w:rPr>
              <w:t xml:space="preserve"> </w:t>
            </w:r>
            <w:proofErr w:type="spellStart"/>
            <w:r w:rsidRPr="00531785">
              <w:rPr>
                <w:color w:val="000000"/>
                <w:lang w:val="id-ID"/>
              </w:rPr>
              <w:t>by</w:t>
            </w:r>
            <w:proofErr w:type="spellEnd"/>
            <w:r w:rsidRPr="00531785">
              <w:rPr>
                <w:color w:val="000000"/>
                <w:lang w:val="id-ID"/>
              </w:rPr>
              <w:t xml:space="preserve"> </w:t>
            </w:r>
            <w:proofErr w:type="spellStart"/>
            <w:r w:rsidRPr="00531785">
              <w:rPr>
                <w:color w:val="000000"/>
                <w:lang w:val="id-ID"/>
              </w:rPr>
              <w:t>reinforcing</w:t>
            </w:r>
            <w:proofErr w:type="spellEnd"/>
            <w:r w:rsidRPr="00531785">
              <w:rPr>
                <w:color w:val="000000"/>
                <w:lang w:val="id-ID"/>
              </w:rPr>
              <w:t xml:space="preserve"> </w:t>
            </w:r>
            <w:proofErr w:type="spellStart"/>
            <w:r w:rsidRPr="00531785">
              <w:rPr>
                <w:color w:val="000000"/>
                <w:lang w:val="id-ID"/>
              </w:rPr>
              <w:t>national</w:t>
            </w:r>
            <w:proofErr w:type="spellEnd"/>
            <w:r w:rsidRPr="00531785">
              <w:rPr>
                <w:color w:val="000000"/>
                <w:lang w:val="id-ID"/>
              </w:rPr>
              <w:t xml:space="preserve"> </w:t>
            </w:r>
            <w:proofErr w:type="spellStart"/>
            <w:r w:rsidRPr="00531785">
              <w:rPr>
                <w:color w:val="000000"/>
                <w:lang w:val="id-ID"/>
              </w:rPr>
              <w:t>positioning</w:t>
            </w:r>
            <w:proofErr w:type="spellEnd"/>
            <w:r w:rsidRPr="00531785">
              <w:rPr>
                <w:color w:val="000000"/>
                <w:lang w:val="id-ID"/>
              </w:rPr>
              <w:t xml:space="preserve">, </w:t>
            </w:r>
            <w:proofErr w:type="spellStart"/>
            <w:r w:rsidRPr="00531785">
              <w:rPr>
                <w:color w:val="000000"/>
                <w:lang w:val="id-ID"/>
              </w:rPr>
              <w:t>supporting</w:t>
            </w:r>
            <w:proofErr w:type="spellEnd"/>
            <w:r w:rsidRPr="00531785">
              <w:rPr>
                <w:color w:val="000000"/>
                <w:lang w:val="id-ID"/>
              </w:rPr>
              <w:t xml:space="preserve"> </w:t>
            </w:r>
            <w:proofErr w:type="spellStart"/>
            <w:r w:rsidRPr="00531785">
              <w:rPr>
                <w:color w:val="000000"/>
                <w:lang w:val="id-ID"/>
              </w:rPr>
              <w:t>economic</w:t>
            </w:r>
            <w:proofErr w:type="spellEnd"/>
            <w:r w:rsidRPr="00531785">
              <w:rPr>
                <w:color w:val="000000"/>
                <w:lang w:val="id-ID"/>
              </w:rPr>
              <w:t xml:space="preserve"> </w:t>
            </w:r>
            <w:proofErr w:type="spellStart"/>
            <w:r w:rsidRPr="00531785">
              <w:rPr>
                <w:color w:val="000000"/>
                <w:lang w:val="id-ID"/>
              </w:rPr>
              <w:t>diplomacy</w:t>
            </w:r>
            <w:proofErr w:type="spellEnd"/>
            <w:r w:rsidRPr="00531785">
              <w:rPr>
                <w:color w:val="000000"/>
                <w:lang w:val="id-ID"/>
              </w:rPr>
              <w:t xml:space="preserve">, </w:t>
            </w:r>
            <w:proofErr w:type="spellStart"/>
            <w:r w:rsidRPr="00531785">
              <w:rPr>
                <w:color w:val="000000"/>
                <w:lang w:val="id-ID"/>
              </w:rPr>
              <w:t>and</w:t>
            </w:r>
            <w:proofErr w:type="spellEnd"/>
            <w:r w:rsidRPr="00531785">
              <w:rPr>
                <w:color w:val="000000"/>
                <w:lang w:val="id-ID"/>
              </w:rPr>
              <w:t xml:space="preserve"> </w:t>
            </w:r>
            <w:proofErr w:type="spellStart"/>
            <w:r w:rsidRPr="00531785">
              <w:rPr>
                <w:color w:val="000000"/>
                <w:lang w:val="id-ID"/>
              </w:rPr>
              <w:t>facilitating</w:t>
            </w:r>
            <w:proofErr w:type="spellEnd"/>
            <w:r w:rsidRPr="00531785">
              <w:rPr>
                <w:color w:val="000000"/>
                <w:lang w:val="id-ID"/>
              </w:rPr>
              <w:t xml:space="preserve"> </w:t>
            </w:r>
            <w:proofErr w:type="spellStart"/>
            <w:r w:rsidRPr="00531785">
              <w:rPr>
                <w:color w:val="000000"/>
                <w:lang w:val="id-ID"/>
              </w:rPr>
              <w:t>sustainable</w:t>
            </w:r>
            <w:proofErr w:type="spellEnd"/>
            <w:r w:rsidRPr="00531785">
              <w:rPr>
                <w:color w:val="000000"/>
                <w:lang w:val="id-ID"/>
              </w:rPr>
              <w:t xml:space="preserve"> </w:t>
            </w:r>
            <w:proofErr w:type="spellStart"/>
            <w:r w:rsidRPr="00531785">
              <w:rPr>
                <w:color w:val="000000"/>
                <w:lang w:val="id-ID"/>
              </w:rPr>
              <w:t>international</w:t>
            </w:r>
            <w:proofErr w:type="spellEnd"/>
            <w:r w:rsidRPr="00531785">
              <w:rPr>
                <w:color w:val="000000"/>
                <w:lang w:val="id-ID"/>
              </w:rPr>
              <w:t xml:space="preserve"> </w:t>
            </w:r>
            <w:proofErr w:type="spellStart"/>
            <w:r w:rsidRPr="00531785">
              <w:rPr>
                <w:color w:val="000000"/>
                <w:lang w:val="id-ID"/>
              </w:rPr>
              <w:t>collaboration</w:t>
            </w:r>
            <w:proofErr w:type="spellEnd"/>
            <w:r w:rsidRPr="00531785">
              <w:rPr>
                <w:color w:val="000000"/>
                <w:lang w:val="id-ID"/>
              </w:rPr>
              <w:t xml:space="preserve"> </w:t>
            </w:r>
            <w:proofErr w:type="spellStart"/>
            <w:r w:rsidRPr="00531785">
              <w:rPr>
                <w:color w:val="000000"/>
                <w:lang w:val="id-ID"/>
              </w:rPr>
              <w:t>beyond</w:t>
            </w:r>
            <w:proofErr w:type="spellEnd"/>
            <w:r w:rsidRPr="00531785">
              <w:rPr>
                <w:color w:val="000000"/>
                <w:lang w:val="id-ID"/>
              </w:rPr>
              <w:t xml:space="preserve"> </w:t>
            </w:r>
            <w:proofErr w:type="spellStart"/>
            <w:r w:rsidRPr="00531785">
              <w:rPr>
                <w:color w:val="000000"/>
                <w:lang w:val="id-ID"/>
              </w:rPr>
              <w:t>conventional</w:t>
            </w:r>
            <w:proofErr w:type="spellEnd"/>
            <w:r w:rsidRPr="00531785">
              <w:rPr>
                <w:color w:val="000000"/>
                <w:lang w:val="id-ID"/>
              </w:rPr>
              <w:t xml:space="preserve"> </w:t>
            </w:r>
            <w:proofErr w:type="spellStart"/>
            <w:r w:rsidRPr="00531785">
              <w:rPr>
                <w:color w:val="000000"/>
                <w:lang w:val="id-ID"/>
              </w:rPr>
              <w:t>statecraft</w:t>
            </w:r>
            <w:proofErr w:type="spellEnd"/>
            <w:r w:rsidRPr="00531785">
              <w:rPr>
                <w:color w:val="000000"/>
                <w:lang w:val="id-ID"/>
              </w:rPr>
              <w:t xml:space="preserve"> </w:t>
            </w:r>
            <w:proofErr w:type="spellStart"/>
            <w:r w:rsidRPr="00531785">
              <w:rPr>
                <w:color w:val="000000"/>
                <w:lang w:val="id-ID"/>
              </w:rPr>
              <w:t>mechanisms</w:t>
            </w:r>
            <w:proofErr w:type="spellEnd"/>
            <w:r w:rsidR="004F4AAB" w:rsidRPr="006C30E1">
              <w:rPr>
                <w:color w:val="000000"/>
              </w:rPr>
              <w:t>.</w:t>
            </w:r>
          </w:p>
          <w:p w14:paraId="67B47D0A" w14:textId="77777777" w:rsidR="00BB2C55" w:rsidRPr="006C30E1" w:rsidRDefault="000E586B" w:rsidP="006C30E1">
            <w:pPr>
              <w:pStyle w:val="Copyright0"/>
              <w:framePr w:hSpace="0" w:wrap="auto" w:vAnchor="margin" w:yAlign="inline"/>
              <w:ind w:right="149"/>
              <w:suppressOverlap w:val="0"/>
              <w:rPr>
                <w:color w:val="000000"/>
              </w:rPr>
            </w:pPr>
            <w:r>
              <w:rPr>
                <w:noProof/>
                <w:color w:val="000000"/>
              </w:rPr>
              <w:drawing>
                <wp:anchor distT="0" distB="0" distL="114300" distR="114300" simplePos="0" relativeHeight="251657728" behindDoc="0" locked="0" layoutInCell="1" allowOverlap="0" wp14:anchorId="19A6BBAE" wp14:editId="352FDD61">
                  <wp:simplePos x="0" y="0"/>
                  <wp:positionH relativeFrom="column">
                    <wp:posOffset>4043045</wp:posOffset>
                  </wp:positionH>
                  <wp:positionV relativeFrom="paragraph">
                    <wp:posOffset>205105</wp:posOffset>
                  </wp:positionV>
                  <wp:extent cx="840105" cy="293370"/>
                  <wp:effectExtent l="0" t="0" r="0" b="0"/>
                  <wp:wrapTopAndBottom/>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010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C55" w:rsidRPr="006C30E1">
              <w:rPr>
                <w:color w:val="000000"/>
              </w:rPr>
              <w:t xml:space="preserve">This is an open access article under the </w:t>
            </w:r>
            <w:hyperlink r:id="rId10" w:history="1">
              <w:r w:rsidR="00BB2C55" w:rsidRPr="00770151">
                <w:rPr>
                  <w:rStyle w:val="Hyperlink"/>
                </w:rPr>
                <w:t>CC–BY</w:t>
              </w:r>
            </w:hyperlink>
            <w:r w:rsidR="005E63A3">
              <w:rPr>
                <w:rStyle w:val="Hyperlink"/>
              </w:rPr>
              <w:t xml:space="preserve"> </w:t>
            </w:r>
            <w:r w:rsidR="00BB2C55" w:rsidRPr="006C30E1">
              <w:rPr>
                <w:color w:val="000000"/>
              </w:rPr>
              <w:t>license.</w:t>
            </w:r>
          </w:p>
          <w:p w14:paraId="122DCDCA" w14:textId="77777777" w:rsidR="00BB2C55" w:rsidRPr="006C30E1" w:rsidRDefault="00BB2C55" w:rsidP="006C30E1">
            <w:pPr>
              <w:pStyle w:val="Copyright0"/>
              <w:framePr w:hSpace="0" w:wrap="auto" w:vAnchor="margin" w:yAlign="inline"/>
              <w:ind w:right="144"/>
              <w:suppressOverlap w:val="0"/>
              <w:rPr>
                <w:color w:val="000000"/>
              </w:rPr>
            </w:pPr>
            <w:r w:rsidRPr="006C30E1">
              <w:rPr>
                <w:color w:val="000000"/>
              </w:rPr>
              <w:t xml:space="preserve">   </w:t>
            </w:r>
          </w:p>
        </w:tc>
      </w:tr>
      <w:tr w:rsidR="00BB2C55" w:rsidRPr="00770151" w14:paraId="6BEB97B5" w14:textId="77777777" w:rsidTr="006C30E1">
        <w:trPr>
          <w:trHeight w:val="1427"/>
        </w:trPr>
        <w:tc>
          <w:tcPr>
            <w:tcW w:w="1110" w:type="pct"/>
            <w:shd w:val="clear" w:color="auto" w:fill="B4C6E7"/>
          </w:tcPr>
          <w:p w14:paraId="6525085E" w14:textId="77777777" w:rsidR="00BB2C55" w:rsidRPr="006C30E1" w:rsidRDefault="00BB2C55" w:rsidP="006C30E1">
            <w:pPr>
              <w:pStyle w:val="KeywordHead"/>
              <w:rPr>
                <w:b w:val="0"/>
                <w:color w:val="000000"/>
              </w:rPr>
            </w:pPr>
          </w:p>
          <w:p w14:paraId="58BEDE95" w14:textId="77777777" w:rsidR="00BB2C55" w:rsidRPr="006C30E1" w:rsidRDefault="00BB2C55" w:rsidP="006C30E1">
            <w:pPr>
              <w:pStyle w:val="KeywordHead"/>
              <w:rPr>
                <w:color w:val="000000"/>
              </w:rPr>
            </w:pPr>
            <w:r w:rsidRPr="006C30E1">
              <w:rPr>
                <w:color w:val="000000"/>
              </w:rPr>
              <w:t>Keywords</w:t>
            </w:r>
          </w:p>
          <w:p w14:paraId="67B9A14A" w14:textId="77777777" w:rsidR="00531785" w:rsidRPr="00531785" w:rsidRDefault="00531785" w:rsidP="00531785">
            <w:pPr>
              <w:pStyle w:val="KeywordHead"/>
              <w:rPr>
                <w:b w:val="0"/>
                <w:color w:val="000000"/>
                <w:lang w:val="en-ID"/>
              </w:rPr>
            </w:pPr>
            <w:r w:rsidRPr="00531785">
              <w:rPr>
                <w:b w:val="0"/>
                <w:color w:val="000000"/>
                <w:lang w:val="en-ID"/>
              </w:rPr>
              <w:t>Geopolitics</w:t>
            </w:r>
          </w:p>
          <w:p w14:paraId="576D9210" w14:textId="77777777" w:rsidR="00531785" w:rsidRPr="00531785" w:rsidRDefault="00531785" w:rsidP="00531785">
            <w:pPr>
              <w:pStyle w:val="KeywordHead"/>
              <w:rPr>
                <w:b w:val="0"/>
                <w:color w:val="000000"/>
                <w:lang w:val="en-ID"/>
              </w:rPr>
            </w:pPr>
            <w:r w:rsidRPr="00531785">
              <w:rPr>
                <w:b w:val="0"/>
                <w:color w:val="000000"/>
                <w:lang w:val="en-ID"/>
              </w:rPr>
              <w:t>Petronas Twin Towers</w:t>
            </w:r>
          </w:p>
          <w:p w14:paraId="21894528" w14:textId="77777777" w:rsidR="00531785" w:rsidRPr="00531785" w:rsidRDefault="00531785" w:rsidP="00531785">
            <w:pPr>
              <w:pStyle w:val="KeywordHead"/>
              <w:rPr>
                <w:b w:val="0"/>
                <w:color w:val="000000"/>
                <w:lang w:val="en-ID"/>
              </w:rPr>
            </w:pPr>
            <w:r w:rsidRPr="00531785">
              <w:rPr>
                <w:b w:val="0"/>
                <w:color w:val="000000"/>
                <w:lang w:val="en-ID"/>
              </w:rPr>
              <w:t>Iconic Architecture</w:t>
            </w:r>
          </w:p>
          <w:p w14:paraId="2A2EE51A" w14:textId="77777777" w:rsidR="00531785" w:rsidRPr="00531785" w:rsidRDefault="00531785" w:rsidP="00531785">
            <w:pPr>
              <w:pStyle w:val="KeywordHead"/>
              <w:rPr>
                <w:b w:val="0"/>
                <w:color w:val="000000"/>
                <w:lang w:val="en-ID"/>
              </w:rPr>
            </w:pPr>
            <w:r w:rsidRPr="00531785">
              <w:rPr>
                <w:b w:val="0"/>
                <w:color w:val="000000"/>
                <w:lang w:val="en-ID"/>
              </w:rPr>
              <w:t>Economic Diplomacy</w:t>
            </w:r>
          </w:p>
          <w:p w14:paraId="6417DA8E" w14:textId="77777777" w:rsidR="00531785" w:rsidRPr="00531785" w:rsidRDefault="00531785" w:rsidP="00531785">
            <w:pPr>
              <w:pStyle w:val="KeywordHead"/>
              <w:rPr>
                <w:b w:val="0"/>
                <w:color w:val="000000"/>
                <w:lang w:val="en-ID"/>
              </w:rPr>
            </w:pPr>
            <w:r w:rsidRPr="00531785">
              <w:rPr>
                <w:b w:val="0"/>
                <w:color w:val="000000"/>
                <w:lang w:val="en-ID"/>
              </w:rPr>
              <w:t>Sustainable Development Goals</w:t>
            </w:r>
          </w:p>
          <w:p w14:paraId="0DA9DC3A" w14:textId="35ED3290" w:rsidR="00BB2C55" w:rsidRPr="006C30E1" w:rsidRDefault="00BB2C55" w:rsidP="006C30E1">
            <w:pPr>
              <w:pStyle w:val="Keyword"/>
              <w:rPr>
                <w:color w:val="000000"/>
              </w:rPr>
            </w:pPr>
          </w:p>
          <w:p w14:paraId="48724395" w14:textId="77777777" w:rsidR="00BB2C55" w:rsidRPr="006C30E1" w:rsidRDefault="00BB2C55" w:rsidP="006C30E1">
            <w:pPr>
              <w:pStyle w:val="Keyword"/>
              <w:rPr>
                <w:color w:val="000000"/>
              </w:rPr>
            </w:pPr>
          </w:p>
        </w:tc>
        <w:tc>
          <w:tcPr>
            <w:tcW w:w="3890" w:type="pct"/>
            <w:vMerge/>
            <w:shd w:val="clear" w:color="auto" w:fill="A1B8E1"/>
          </w:tcPr>
          <w:p w14:paraId="629792E7" w14:textId="77777777" w:rsidR="00BB2C55" w:rsidRPr="006C30E1" w:rsidRDefault="00BB2C55" w:rsidP="006C30E1">
            <w:pPr>
              <w:spacing w:after="80" w:line="200" w:lineRule="exact"/>
              <w:rPr>
                <w:rFonts w:ascii="Junicode" w:eastAsia="Times New Roman" w:hAnsi="Junicode"/>
                <w:color w:val="000000"/>
              </w:rPr>
            </w:pPr>
          </w:p>
        </w:tc>
      </w:tr>
    </w:tbl>
    <w:p w14:paraId="4827FB41" w14:textId="77777777" w:rsidR="004F4AAB" w:rsidRDefault="004F4AAB" w:rsidP="002E5062">
      <w:pPr>
        <w:pStyle w:val="Heading1"/>
        <w:sectPr w:rsidR="004F4AAB" w:rsidSect="00AF2F76">
          <w:headerReference w:type="even" r:id="rId11"/>
          <w:headerReference w:type="default" r:id="rId12"/>
          <w:footerReference w:type="even" r:id="rId13"/>
          <w:footerReference w:type="default" r:id="rId14"/>
          <w:headerReference w:type="first" r:id="rId15"/>
          <w:footerReference w:type="first" r:id="rId16"/>
          <w:pgSz w:w="11907" w:h="16840" w:code="9"/>
          <w:pgMar w:top="720" w:right="720" w:bottom="720" w:left="720" w:header="720" w:footer="720" w:gutter="0"/>
          <w:pgNumType w:start="176"/>
          <w:cols w:space="720"/>
          <w:titlePg/>
          <w:docGrid w:linePitch="360"/>
        </w:sectPr>
      </w:pPr>
    </w:p>
    <w:p w14:paraId="40DEDA3C" w14:textId="77777777" w:rsidR="00537B9A" w:rsidRPr="00302CF4" w:rsidRDefault="00537B9A" w:rsidP="002E5062">
      <w:pPr>
        <w:pStyle w:val="Heading1"/>
      </w:pPr>
      <w:r w:rsidRPr="00302CF4">
        <w:t>Introduction</w:t>
      </w:r>
    </w:p>
    <w:p w14:paraId="57AC3847" w14:textId="77777777" w:rsidR="00AF2F76" w:rsidRDefault="00531785" w:rsidP="00531785">
      <w:pPr>
        <w:pStyle w:val="BodyText"/>
      </w:pPr>
      <w:r>
        <w:t xml:space="preserve">Southeast Asia has experienced sustained and multidimensional transformation since the end of the Cold War, shaped by economic liberalization, regional institutional consolidation, and the reconfiguration of power relations among global and regional actors. The decline of bipolar rivalry created space for new forms of regional cooperation centered not on ideological alignment but on economic interdependence, political dialogue, and functional collaboration. In this context, the institutional strengthening of ASEAN as a central platform for political consultation, conflict management, and economic coordination has played a decisive role in structuring regional order. ASEAN’s norms of non-interference, consensus-building, and incremental integration have provided member states with strategic flexibility while preserving regional stability (Hewison, 2022). At the same time, intensifying competition among major powers, particularly the United States and China, has elevated Southeast Asia’s strategic significance within </w:t>
      </w:r>
    </w:p>
    <w:p w14:paraId="34AE63CC" w14:textId="77777777" w:rsidR="00AF2F76" w:rsidRDefault="00AF2F76" w:rsidP="00AF2F76">
      <w:pPr>
        <w:pStyle w:val="BodyText"/>
        <w:ind w:firstLine="0"/>
      </w:pPr>
    </w:p>
    <w:p w14:paraId="6472FFC4" w14:textId="213760B4" w:rsidR="00531785" w:rsidRDefault="00531785" w:rsidP="00AF2F76">
      <w:pPr>
        <w:pStyle w:val="BodyText"/>
        <w:ind w:firstLine="0"/>
      </w:pPr>
      <w:r>
        <w:t>the Indo-Pacific framework, compelling regional states to balance autonomy with engagement.</w:t>
      </w:r>
    </w:p>
    <w:p w14:paraId="154F7690" w14:textId="10D8B3B6" w:rsidR="00531785" w:rsidRDefault="00531785" w:rsidP="00531785">
      <w:pPr>
        <w:pStyle w:val="BodyText"/>
      </w:pPr>
      <w:r>
        <w:t xml:space="preserve">Within this evolving geopolitical environment, Malaysia has pursued a pragmatic and development-oriented trajectory that integrates political stability, export-driven industrialization, and strategic diplomacy. Rather than relying solely on traditional security instruments, Malaysia has adopted a multidimensional approach that combines economic modernization, institutional participation in ASEAN-led mechanisms, and symbolic projection of national identity. Through active engagement in regional forums and multilateral diplomacy, Malaysia positions itself as a moderate, cooperative, and reliable actor committed to regional peace and economic integration (Caballero-Anthony &amp; Emmers, 2022). </w:t>
      </w:r>
    </w:p>
    <w:p w14:paraId="24843959" w14:textId="77777777" w:rsidR="00531785" w:rsidRDefault="00531785" w:rsidP="00531785">
      <w:pPr>
        <w:pStyle w:val="BodyText"/>
      </w:pPr>
      <w:r>
        <w:t xml:space="preserve">Contemporary geopolitics increasingly incorporates spatial symbols as extensions of state power, reflecting a shift from purely territorial and military frameworks toward more multidimensional forms of influence </w:t>
      </w:r>
      <w:r>
        <w:lastRenderedPageBreak/>
        <w:t>(Maclaren, 2021; Topalidis et al., 2024). In the post–Cold War era, geopolitical competition is not confined to borders, military alliances, or resource control; it also unfolds through representational spaces that communicate narratives of progress, modernity, and legitimacy. Spatial symbols ranging from monumental architecture to carefully designed urban districts serve as tangible manifestations of national aspirations and strategic positioning within the global order.</w:t>
      </w:r>
    </w:p>
    <w:p w14:paraId="7F98C64C" w14:textId="77777777" w:rsidR="00531785" w:rsidRDefault="00531785" w:rsidP="00531785">
      <w:pPr>
        <w:pStyle w:val="BodyText"/>
      </w:pPr>
      <w:r>
        <w:t>Urban megaprojects, landmark architecture, and iconic infrastructure have thus emerged as powerful visual expressions of state ambition and political capacity. These projects are often embedded in broader development strategies that integrate economic liberalization, global city branding, and infrastructural modernization. Beyond their functional purposes, such structures operate within transnational circuits of capital, tourism, diplomacy, and media representation. They attract foreign investment, host international forums, and circulate through digital and broadcast imagery, thereby amplifying their symbolic reach far beyond national borders. In this sense, iconic architecture becomes part of a state’s soft power repertoire, shaping perceptions and influencing international audiences through visibility and prestige.</w:t>
      </w:r>
    </w:p>
    <w:p w14:paraId="22FC4FF1" w14:textId="77777777" w:rsidR="00531785" w:rsidRDefault="00531785" w:rsidP="00531785">
      <w:pPr>
        <w:pStyle w:val="BodyText"/>
      </w:pPr>
      <w:r>
        <w:t>Within competitive regional environments, particularly in rapidly developing regions such as Southeast Asia, architecture serves as a communicative instrument that signals economic credibility, technological sophistication, and effective governance (Csurgai, 2022). The construction of high-profile urban landmarks conveys messages about institutional stability, regulatory capacity, and integration into global markets. These spatial forms can reinforce narratives of modernization and strategic relevance, positioning cities as nodes within global networks of finance, energy, and innovation. Consequently, contemporary geopolitics must be understood not only as a struggle over territory and material resources, but also as a contest over representation, symbolism, and spatial visibility in the global arena.</w:t>
      </w:r>
    </w:p>
    <w:p w14:paraId="44938D78" w14:textId="77777777" w:rsidR="00531785" w:rsidRDefault="00531785" w:rsidP="00531785">
      <w:pPr>
        <w:pStyle w:val="BodyText"/>
      </w:pPr>
      <w:r>
        <w:t>From a geography education perspective, contemporary learning emphasizes spatial literacy, place-based understanding, and the ability to interpret landscapes as representations of social, political, and economic processes. Geopolitical symbols such as iconic buildings provide concrete spatial contexts through which students can examine the relationships between territory, power, identity, and development. As visible manifestations of state strategies and national aspirations, symbolic urban landmarks can therefore function as meaningful learning resources that connect abstract geopolitical concepts with real-world spatial phenomena, fostering critical thinking and geopolitical awareness among learners.</w:t>
      </w:r>
    </w:p>
    <w:p w14:paraId="6BA701EB" w14:textId="77777777" w:rsidR="00531785" w:rsidRDefault="00531785" w:rsidP="00531785">
      <w:pPr>
        <w:pStyle w:val="BodyText"/>
      </w:pPr>
      <w:r>
        <w:t xml:space="preserve">The Petronas Twin Towers, completed in 1998 during Malaysia’s rapid industrial expansion, emerged from this </w:t>
      </w:r>
      <w:r>
        <w:t>strategic logic of symbolic development. Designed as the headquarters of PETRONAS, the national oil and gas corporation, the towers represent Malaysia’s assertion of economic autonomy through control over strategic energy resources (Nga et al., 2025). PETRONAS has been a major contributor to national revenue and public expenditure, reinforcing the link between corporate power and state authority. The towers, therefore, symbolize the institutional relationship between the state, its strategic industries, and broader development goals (Halip, 2022).</w:t>
      </w:r>
    </w:p>
    <w:p w14:paraId="01017F99" w14:textId="77777777" w:rsidR="00531785" w:rsidRDefault="00531785" w:rsidP="00531785">
      <w:pPr>
        <w:pStyle w:val="BodyText"/>
      </w:pPr>
      <w:r>
        <w:t>Energy politics further intensifies the geopolitical meaning of the Petronas Twin Towers. Malaysia’s involvement in offshore exploration within the South China Sea places PETRONAS at the intersection of regional competition over maritime space and natural resources (Towers, 2024). The towers operate as a visual marker of Malaysia’s presence within these contested dynamics. Diplomatic engagements conducted in Kuala Lumpur, including high-level ASEAN meetings and bilateral forums, reinforce the association between the towers and Malaysia’s diplomatic visibility, projecting an image of regional leadership grounded in economic resilience (Kuik &amp; Benny, 2024).</w:t>
      </w:r>
    </w:p>
    <w:p w14:paraId="3188C15D" w14:textId="77777777" w:rsidR="00531785" w:rsidRDefault="00531785" w:rsidP="00531785">
      <w:pPr>
        <w:pStyle w:val="BodyText"/>
      </w:pPr>
      <w:r>
        <w:t>Malaysia’s foreign policy orientation reflects a calculated balance between major global powers while sustaining commitments to ASEAN centrality. Its geographic position along key maritime corridors enhances strategic relevance within international trade and energy flows (</w:t>
      </w:r>
      <w:proofErr w:type="spellStart"/>
      <w:r>
        <w:t>Prasetya</w:t>
      </w:r>
      <w:proofErr w:type="spellEnd"/>
      <w:r>
        <w:t xml:space="preserve"> et al., 2025). National identity construction has relied on cultural, religious, and architectural elements to support political legitimacy and to build a global image. Architectural icons have therefore played a direct role in cultural diplomacy and the articulation of Malaysia’s modern national narrative.</w:t>
      </w:r>
    </w:p>
    <w:p w14:paraId="666EC9C7" w14:textId="77777777" w:rsidR="00531785" w:rsidRDefault="00531785" w:rsidP="00531785">
      <w:pPr>
        <w:pStyle w:val="BodyText"/>
      </w:pPr>
      <w:r>
        <w:t>Several academic studies have examined the relationship between architecture, symbolism, and geopolitical influence. Dao (2022) demonstrated that urban icons in Asia-Pacific cities contribute to regional power projection by shaping visual diplomacy and international perception.  Complementarily, Hussin (2018) analyzed Malaysia’s nation-branding strategies and emphasized that iconic landmarks reinforce tourism diplomacy and external recognition of national identity. These studies confirm that architecture operates as a strategic asset within international relations.</w:t>
      </w:r>
    </w:p>
    <w:p w14:paraId="433FB717" w14:textId="77777777" w:rsidR="00531785" w:rsidRDefault="00531785" w:rsidP="00531785">
      <w:pPr>
        <w:pStyle w:val="BodyText"/>
      </w:pPr>
      <w:r>
        <w:t xml:space="preserve">Existing scholarship has predominantly examined the Petronas Twin Towers through the lenses of tourism promotion, urban development, and cultural identity. While these perspectives highlight the towers’ significance as a national icon, limited attention has been given to their role as a geopolitical symbol that reflects Malaysia’s strategic positioning, energy sovereignty, and regional diplomatic engagement. Furthermore, few studies have explored how such geopolitical symbols can be utilized as learning resources in geography education to develop students’ spatial literacy and geopolitical </w:t>
      </w:r>
      <w:r>
        <w:lastRenderedPageBreak/>
        <w:t>understanding. This gap indicates the need for an integrated analysis that links architectural symbolism, geopolitics, and geography education within a single conceptual framework.</w:t>
      </w:r>
    </w:p>
    <w:p w14:paraId="7E5FBCC7" w14:textId="77777777" w:rsidR="00531785" w:rsidRDefault="00531785" w:rsidP="00531785">
      <w:pPr>
        <w:pStyle w:val="BodyText"/>
      </w:pPr>
      <w:r>
        <w:t>Beyond its geopolitical and symbolic dimensions, the Petronas Twin Towers also hold pedagogical relevance within geography education. Contemporary geography learning increasingly emphasizes spatial literacy, critical geopolitical awareness, and the interpretation of urban symbols as representations of power and state strategy. Iconic urban architecture serves as contextual learning material, enabling students to connect theoretical geopolitical concepts to observable spatial realities. In this regard, the Petronas Twin Towers can function as a learning resource that facilitates the understanding of regional positioning, energy sovereignty, diplomatic networks, and Southeast Asian geopolitical dynamics. Integrating such symbolic urban landscapes into geography education strengthens analytical skills and supports the development of students’ spatial and geopolitical reasoning.</w:t>
      </w:r>
    </w:p>
    <w:p w14:paraId="1C36960A" w14:textId="39DA0CD0" w:rsidR="00537B9A" w:rsidRDefault="00531785" w:rsidP="00531785">
      <w:pPr>
        <w:pStyle w:val="BodyText"/>
      </w:pPr>
      <w:r>
        <w:t>The integration of symbolic geopolitics and geography education is grounded in the view that spatial representations are not merely objects of political analysis but also important educational resources. Geography education seeks to develop students’ spatial literacy and their ability to interpret how power, identity, and development are expressed through landscapes and built environments. In this context, geopolitical symbols such as the Petronas Twin Towers provide tangible examples through which abstract concepts of regional positioning, economic sovereignty, diplomacy, and state representation can be examined. By linking geopolitical interpretation with educational practice, symbolic urban landscapes become valuable pedagogical tools for connecting theoretical knowledge with real-world spatial phenomena</w:t>
      </w:r>
      <w:r w:rsidR="00537B9A">
        <w:t>.</w:t>
      </w:r>
    </w:p>
    <w:p w14:paraId="7526B9DF" w14:textId="77777777" w:rsidR="00537B9A" w:rsidRPr="00302CF4" w:rsidRDefault="0065280A" w:rsidP="0027672B">
      <w:pPr>
        <w:pStyle w:val="Heading1"/>
      </w:pPr>
      <w:r>
        <w:t>Method</w:t>
      </w:r>
    </w:p>
    <w:p w14:paraId="1E28BCA0" w14:textId="77777777" w:rsidR="00531785" w:rsidRPr="00531785" w:rsidRDefault="00531785" w:rsidP="00531785">
      <w:pPr>
        <w:pStyle w:val="Heading2"/>
      </w:pPr>
      <w:r w:rsidRPr="00531785">
        <w:t>Research Design</w:t>
      </w:r>
    </w:p>
    <w:p w14:paraId="1BD918EC" w14:textId="77777777" w:rsidR="00531785" w:rsidRPr="00531785" w:rsidRDefault="00531785" w:rsidP="00531785">
      <w:pPr>
        <w:pStyle w:val="BodyText"/>
      </w:pPr>
      <w:r w:rsidRPr="00531785">
        <w:t>This study employed a qualitative research design to interpret social and geopolitical phenomena related to the Petronas Twin Towers in their natural setting. Qualitative research emphasizes meaning, interpretation, and depth rather than numerical measurement, allowing the researcher to explore symbolic, spatial, and geopolitical dimensions embedded in architectural icons. In this study, the researcher functioned as the main research instrument, responsible for data collection, interpretation, and analysis. A purposive sampling strategy was applied to select information sources considered relevant to the research objectives, following qualitative methodological principles.</w:t>
      </w:r>
    </w:p>
    <w:p w14:paraId="729DE48E" w14:textId="77777777" w:rsidR="00531785" w:rsidRPr="00531785" w:rsidRDefault="00531785" w:rsidP="00531785">
      <w:pPr>
        <w:pStyle w:val="Heading2"/>
      </w:pPr>
      <w:r w:rsidRPr="00531785">
        <w:t>Research Location and Time</w:t>
      </w:r>
    </w:p>
    <w:p w14:paraId="2E561F16" w14:textId="77777777" w:rsidR="00531785" w:rsidRPr="00531785" w:rsidRDefault="00531785" w:rsidP="00531785">
      <w:pPr>
        <w:pStyle w:val="BodyText"/>
      </w:pPr>
      <w:r w:rsidRPr="00531785">
        <w:t xml:space="preserve">The research was conducted at the Kuala Lumpur City Centre (KLCC), Malaysia, with a specific focus on the </w:t>
      </w:r>
      <w:r w:rsidRPr="00531785">
        <w:t>Petronas Twin Towers and their surrounding urban environment. KLCC was selected due to its role as Malaysia's primary architectural, economic, and diplomatic landmark. Data collection took place during field observations and interviews conducted on 26-27 October 2025, coinciding with heightened international activity in the KLCC area, which provided a suitable setting for examining geopolitical symbolism and international interaction.</w:t>
      </w:r>
    </w:p>
    <w:p w14:paraId="38F36071" w14:textId="77777777" w:rsidR="00531785" w:rsidRPr="00531785" w:rsidRDefault="00531785" w:rsidP="00531785">
      <w:pPr>
        <w:pStyle w:val="Heading2"/>
      </w:pPr>
      <w:r w:rsidRPr="00531785">
        <w:t>Population and Sample</w:t>
      </w:r>
    </w:p>
    <w:p w14:paraId="6BC79388" w14:textId="77777777" w:rsidR="00531785" w:rsidRPr="00531785" w:rsidRDefault="00531785" w:rsidP="00531785">
      <w:pPr>
        <w:pStyle w:val="BodyText"/>
      </w:pPr>
      <w:r w:rsidRPr="00531785">
        <w:t>The population of this study consisted of individuals interacting directly with the KLCC environment, including visitors, tourists, and stakeholders present in the area during the research period. The research sample was selected using purposive sampling, targeting informants considered capable of providing relevant insights into the geopolitical, cultural, and diplomatic significance of the Petronas Twin Towers. Selected informants included local and international visitors who demonstrated awareness of KLCC as a global landmark, as well as academic practitioners with expertise related to geopolitics and urban symbolism.</w:t>
      </w:r>
    </w:p>
    <w:p w14:paraId="6273C95B" w14:textId="77777777" w:rsidR="00531785" w:rsidRPr="00531785" w:rsidRDefault="00531785" w:rsidP="00531785">
      <w:pPr>
        <w:pStyle w:val="BodyText"/>
      </w:pPr>
      <w:r w:rsidRPr="00531785">
        <w:t>The population of this study consisted of individuals interacting directly with the Kuala Lumpur City Centre (KLCC) environment during the research period. A purposive sampling strategy was employed to select participants capable of providing relevant information regarding the geopolitical, cultural, and symbolic significance of the Petronas Twin Towers. The final sample consisted of 10 informants, comprising local and international visitors encountered within the KLCC area.</w:t>
      </w:r>
    </w:p>
    <w:p w14:paraId="0F009921" w14:textId="77777777" w:rsidR="00531785" w:rsidRPr="00531785" w:rsidRDefault="00531785" w:rsidP="00531785">
      <w:pPr>
        <w:pStyle w:val="BodyText"/>
      </w:pPr>
      <w:r w:rsidRPr="00531785">
        <w:t xml:space="preserve">Participants were selected based on three criteria: </w:t>
      </w:r>
    </w:p>
    <w:p w14:paraId="24FF3E23" w14:textId="77777777" w:rsidR="00531785" w:rsidRPr="00531785" w:rsidRDefault="00531785" w:rsidP="00531785">
      <w:pPr>
        <w:pStyle w:val="bulletlist"/>
      </w:pPr>
      <w:r w:rsidRPr="00531785">
        <w:t>having visited the Petronas Twin Towers or the surrounding KLCC area during the research period;</w:t>
      </w:r>
    </w:p>
    <w:p w14:paraId="6EFF9290" w14:textId="77777777" w:rsidR="00531785" w:rsidRPr="00531785" w:rsidRDefault="00531785" w:rsidP="00531785">
      <w:pPr>
        <w:pStyle w:val="bulletlist"/>
      </w:pPr>
      <w:r w:rsidRPr="00531785">
        <w:t xml:space="preserve">demonstrating awareness of the Petronas Twin Towers as a national or international landmark through preliminary screening questions concerning their knowledge of the towers’ significance to Malaysia; and </w:t>
      </w:r>
    </w:p>
    <w:p w14:paraId="5DA693F3" w14:textId="77777777" w:rsidR="00531785" w:rsidRPr="00531785" w:rsidRDefault="00531785" w:rsidP="00531785">
      <w:pPr>
        <w:pStyle w:val="bulletlist"/>
      </w:pPr>
      <w:r w:rsidRPr="00531785">
        <w:t xml:space="preserve">willingness to participate voluntarily in the interview process. </w:t>
      </w:r>
    </w:p>
    <w:p w14:paraId="33B95189" w14:textId="77777777" w:rsidR="00531785" w:rsidRDefault="00531785" w:rsidP="00531785">
      <w:pPr>
        <w:pStyle w:val="BodyText"/>
      </w:pPr>
    </w:p>
    <w:p w14:paraId="5A86B1DC" w14:textId="0E5A27E6" w:rsidR="00531785" w:rsidRPr="00531785" w:rsidRDefault="00531785" w:rsidP="00531785">
      <w:pPr>
        <w:pStyle w:val="BodyText"/>
      </w:pPr>
      <w:r w:rsidRPr="00531785">
        <w:t>Sampling was continued until sufficient thematic saturation was achieved, whereby additional interviews generated no substantially new insights relevant to the research objectives.</w:t>
      </w:r>
    </w:p>
    <w:p w14:paraId="7C6223ED" w14:textId="77777777" w:rsidR="00531785" w:rsidRPr="00531785" w:rsidRDefault="00531785" w:rsidP="00531785">
      <w:pPr>
        <w:pStyle w:val="Heading2"/>
      </w:pPr>
      <w:r w:rsidRPr="00531785">
        <w:t>Data Collection Techniques</w:t>
      </w:r>
    </w:p>
    <w:p w14:paraId="5C094796" w14:textId="77777777" w:rsidR="00531785" w:rsidRPr="00531785" w:rsidRDefault="00531785" w:rsidP="00531785">
      <w:pPr>
        <w:pStyle w:val="BodyText"/>
      </w:pPr>
      <w:r w:rsidRPr="00531785">
        <w:t xml:space="preserve">Data were collected using several qualitative techniques to ensure depth and triangulation. </w:t>
      </w:r>
    </w:p>
    <w:p w14:paraId="6B0C3582" w14:textId="77777777" w:rsidR="00531785" w:rsidRPr="00531785" w:rsidRDefault="00531785" w:rsidP="00531785">
      <w:pPr>
        <w:pStyle w:val="bulletlist"/>
      </w:pPr>
      <w:r w:rsidRPr="00531785">
        <w:t xml:space="preserve">A literature review was conducted by reviewing academic journals, books, and policy-related documents on geopolitics, architectural </w:t>
      </w:r>
      <w:r w:rsidRPr="00531785">
        <w:lastRenderedPageBreak/>
        <w:t>symbolism, nation branding, and Malaysia's regional diplomacy.</w:t>
      </w:r>
    </w:p>
    <w:p w14:paraId="4E6DAB45" w14:textId="77777777" w:rsidR="00531785" w:rsidRPr="00531785" w:rsidRDefault="00531785" w:rsidP="00531785">
      <w:pPr>
        <w:pStyle w:val="bulletlist"/>
      </w:pPr>
      <w:r w:rsidRPr="00531785">
        <w:t xml:space="preserve">Field observations were carried out at KLCC to document spatial arrangements, symbolic representations, visitor activities, and the use of the Petronas Twin Towers in public and diplomatic settings. </w:t>
      </w:r>
    </w:p>
    <w:p w14:paraId="32693EDD" w14:textId="0C9F5BCD" w:rsidR="00531785" w:rsidRPr="00531785" w:rsidRDefault="00531785" w:rsidP="00531785">
      <w:pPr>
        <w:pStyle w:val="bulletlist"/>
      </w:pPr>
      <w:r w:rsidRPr="00531785">
        <w:t>Semi-structured interviews were conducted with 10 selected local and international visitors around the Petronas Twin Towers using a purposive sampling approach. The interviews focused on participants’ perceptions of the towers as a symbol of Malaysia, their understanding of its international significance, and their views regarding the role of the landmark in shaping Malaysia’s global image and regional position. Prior to each interview, participants were informed about the objectives of the study, the voluntary nature of their participation, and their right to withdraw at any stage of the research process. Verbal informed consent was obtained from all participants before data collection commenced. To ensure confidentiality, participants’ identities were anonymized and are presented in this study using non-identifiable references.</w:t>
      </w:r>
    </w:p>
    <w:p w14:paraId="052FFC48" w14:textId="77777777" w:rsidR="00531785" w:rsidRPr="00531785" w:rsidRDefault="00531785" w:rsidP="00531785">
      <w:pPr>
        <w:pStyle w:val="Heading2"/>
      </w:pPr>
      <w:r w:rsidRPr="00531785">
        <w:t>Data Analysis Techniques</w:t>
      </w:r>
    </w:p>
    <w:p w14:paraId="1CEE1B51" w14:textId="77777777" w:rsidR="00531785" w:rsidRPr="00531785" w:rsidRDefault="00531785" w:rsidP="00531785">
      <w:pPr>
        <w:pStyle w:val="BodyText"/>
      </w:pPr>
      <w:r w:rsidRPr="00531785">
        <w:t>Data analysis followed a qualitative thematic analysis approach. Data obtained from literature reviews, field observations, and semi-structured interviews were first transcribed, organized, and coded systematically. The coding process was conducted in three stages: open coding to identify initial concepts, axial coding to establish relationships among categories, and selective coding to develop overarching themes relevant to the research objectives.</w:t>
      </w:r>
    </w:p>
    <w:p w14:paraId="759ABF00" w14:textId="77777777" w:rsidR="00531785" w:rsidRPr="00531785" w:rsidRDefault="00531785" w:rsidP="00531785">
      <w:pPr>
        <w:pStyle w:val="BodyText"/>
      </w:pPr>
      <w:r w:rsidRPr="00531785">
        <w:t xml:space="preserve">Four principal themes emerged from the analysis: </w:t>
      </w:r>
    </w:p>
    <w:p w14:paraId="4C9E5544" w14:textId="77777777" w:rsidR="00531785" w:rsidRPr="00531785" w:rsidRDefault="00531785" w:rsidP="00531785">
      <w:pPr>
        <w:pStyle w:val="bulletlist"/>
      </w:pPr>
      <w:r w:rsidRPr="00531785">
        <w:t xml:space="preserve">geopolitical positioning and regional significance, </w:t>
      </w:r>
    </w:p>
    <w:p w14:paraId="7139EBB0" w14:textId="77777777" w:rsidR="00531785" w:rsidRPr="00531785" w:rsidRDefault="00531785" w:rsidP="00531785">
      <w:pPr>
        <w:pStyle w:val="bulletlist"/>
      </w:pPr>
      <w:r w:rsidRPr="00531785">
        <w:t xml:space="preserve">symbolic representation and national identity, </w:t>
      </w:r>
    </w:p>
    <w:p w14:paraId="5613C4E9" w14:textId="77777777" w:rsidR="00531785" w:rsidRPr="00531785" w:rsidRDefault="00531785" w:rsidP="00531785">
      <w:pPr>
        <w:pStyle w:val="bulletlist"/>
      </w:pPr>
      <w:r w:rsidRPr="00531785">
        <w:t xml:space="preserve">economic diplomacy and energy sovereignty, and </w:t>
      </w:r>
    </w:p>
    <w:p w14:paraId="4F75EFCB" w14:textId="77777777" w:rsidR="00531785" w:rsidRPr="00531785" w:rsidRDefault="00531785" w:rsidP="00531785">
      <w:pPr>
        <w:pStyle w:val="bulletlist"/>
      </w:pPr>
      <w:r w:rsidRPr="00531785">
        <w:t xml:space="preserve">educational relevance for spatial literacy and geopolitical awareness. </w:t>
      </w:r>
    </w:p>
    <w:p w14:paraId="6A97386C" w14:textId="77777777" w:rsidR="00531785" w:rsidRDefault="00531785" w:rsidP="00531785">
      <w:pPr>
        <w:pStyle w:val="BodyText"/>
      </w:pPr>
    </w:p>
    <w:p w14:paraId="7A7D0DB8" w14:textId="692C7BD3" w:rsidR="00531785" w:rsidRPr="00531785" w:rsidRDefault="00531785" w:rsidP="00531785">
      <w:pPr>
        <w:pStyle w:val="BodyText"/>
      </w:pPr>
      <w:r w:rsidRPr="00531785">
        <w:t xml:space="preserve">These themes were used as analytical categories for interpreting empirical findings and linking them with relevant theoretical perspectives. To enhance validity, methodological triangulation was employed by comparing evidence from three different sources, literature review, field observations, and interview data. </w:t>
      </w:r>
    </w:p>
    <w:p w14:paraId="68B3A985" w14:textId="2A8436EB" w:rsidR="00537B9A" w:rsidRDefault="00531785" w:rsidP="00531785">
      <w:pPr>
        <w:pStyle w:val="BodyText"/>
      </w:pPr>
      <w:r w:rsidRPr="00531785">
        <w:t xml:space="preserve">For example, literature describing the Petronas Twin Towers as a symbol of national identity and economic power was compared with observational evidence from the KLCC environment and with participants’ perceptions regarding Malaysia’s international image. Areas of convergence, divergence, and complementarity among the </w:t>
      </w:r>
      <w:r w:rsidRPr="00531785">
        <w:t>three data sources were identified and analyzed to strengthen the credibility and trustworthiness of the findings. Member checking was also conducted during interviews by confirming participants’ responses to ensure accurate interpretation of their views</w:t>
      </w:r>
      <w:r w:rsidR="00537B9A">
        <w:t>.</w:t>
      </w:r>
    </w:p>
    <w:p w14:paraId="4F7B388B" w14:textId="77777777" w:rsidR="00537B9A" w:rsidRDefault="0065280A" w:rsidP="00537B9A">
      <w:pPr>
        <w:pStyle w:val="Heading1"/>
      </w:pPr>
      <w:r>
        <w:t>Results and Discussion</w:t>
      </w:r>
    </w:p>
    <w:p w14:paraId="3EF2BDF9" w14:textId="77777777" w:rsidR="00531785" w:rsidRDefault="00531785" w:rsidP="00531785">
      <w:pPr>
        <w:pStyle w:val="Heading2"/>
      </w:pPr>
      <w:r>
        <w:t xml:space="preserve">Strategic </w:t>
      </w:r>
      <w:r w:rsidRPr="00531785">
        <w:t>Position</w:t>
      </w:r>
      <w:r>
        <w:t xml:space="preserve"> and Geopolitical Dimensions of the Petronas Twin Towers in Southeast Asia</w:t>
      </w:r>
    </w:p>
    <w:p w14:paraId="016ED52C" w14:textId="77777777" w:rsidR="00531785" w:rsidRDefault="00531785" w:rsidP="00531785">
      <w:pPr>
        <w:pStyle w:val="BodyText"/>
      </w:pPr>
      <w:r>
        <w:t xml:space="preserve">Southeast Asia is widely recognized as a region with high levels of geopolitical interaction, owing to its location along major global trade routes. The Strait of Malacca and the South China Sea function as global maritime corridors connecting East Asia, the Middle East, and Europe. </w:t>
      </w:r>
      <w:proofErr w:type="spellStart"/>
      <w:r>
        <w:t>Mamadouh</w:t>
      </w:r>
      <w:proofErr w:type="spellEnd"/>
      <w:r>
        <w:t xml:space="preserve"> (2020) and Fard (2021) identify this region as a space of competition over economic, energy, and security interests among regional and global powers. Malaysia occupies a central position within this dynamic through its geographical location on the Malay Peninsula, directly adjacent to the Strait of Malacca and possessing maritime territories in the South China Sea.</w:t>
      </w:r>
    </w:p>
    <w:p w14:paraId="79B7E056" w14:textId="77777777" w:rsidR="00B04EED" w:rsidRDefault="00531785" w:rsidP="00317CA4">
      <w:pPr>
        <w:pStyle w:val="BodyText"/>
      </w:pPr>
      <w:r>
        <w:t xml:space="preserve">Kuala Lumpur, as the national capital, functions as the administrative, economic, and diplomatic center of Malaysia. The Petronas Twin Towers, located in the Kuala Lumpur City Centre (KLCC), stand as a visual representation of this strategic role. In the study by </w:t>
      </w:r>
      <w:proofErr w:type="spellStart"/>
      <w:r>
        <w:t>Hamza√ßebi</w:t>
      </w:r>
      <w:proofErr w:type="spellEnd"/>
      <w:r>
        <w:t xml:space="preserve"> &amp; Topal (2025), urban architectural symbols are understood as part of spatial power practices that represent state capacity within regional and global systems. The presence of the Petronas Twin Towers reinforces the narrative of Malaysia as a globally oriented country integrated into the trade and diplomatic flows of Southeast Asia.</w:t>
      </w:r>
    </w:p>
    <w:p w14:paraId="1E262EEB" w14:textId="77777777" w:rsidR="00317CA4" w:rsidRDefault="00317CA4" w:rsidP="00317CA4">
      <w:pPr>
        <w:pStyle w:val="Heading3"/>
      </w:pPr>
      <w:r>
        <w:t>Strategic dimensions of Malaysia's position in Southeast Asia</w:t>
      </w:r>
    </w:p>
    <w:p w14:paraId="39E2A199" w14:textId="77777777" w:rsidR="00317CA4" w:rsidRDefault="00317CA4" w:rsidP="00317CA4">
      <w:pPr>
        <w:pStyle w:val="BodyText"/>
      </w:pPr>
      <w:r>
        <w:t>Malaysia's strategic position can be explained through several key dimensions as follows.</w:t>
      </w:r>
    </w:p>
    <w:p w14:paraId="465E3536" w14:textId="77777777" w:rsidR="00317CA4" w:rsidRDefault="00317CA4" w:rsidP="00317CA4">
      <w:pPr>
        <w:pStyle w:val="Heading4"/>
      </w:pPr>
      <w:r>
        <w:t>Geographical and maritime dimension</w:t>
      </w:r>
    </w:p>
    <w:p w14:paraId="272C2F29" w14:textId="77777777" w:rsidR="00317CA4" w:rsidRDefault="00317CA4" w:rsidP="00317CA4">
      <w:pPr>
        <w:pStyle w:val="BodyText"/>
      </w:pPr>
      <w:r>
        <w:t>Malaysia lies along highly congested international trade routes. The Strait of Malacca accounts for more than one-quarter of global maritime traffic, while the South China Sea serves as a primary route for energy and logistics distribution in the Asia-Pacific. Malaysia's proximity to these two routes strengthens its role in regional maritime stability.</w:t>
      </w:r>
    </w:p>
    <w:p w14:paraId="651A09DD" w14:textId="77777777" w:rsidR="00317CA4" w:rsidRDefault="00317CA4" w:rsidP="00317CA4">
      <w:pPr>
        <w:pStyle w:val="Heading4"/>
      </w:pPr>
      <w:r>
        <w:t>Regional economic dimension</w:t>
      </w:r>
    </w:p>
    <w:p w14:paraId="32F9588D" w14:textId="77777777" w:rsidR="00317CA4" w:rsidRDefault="00317CA4" w:rsidP="00317CA4">
      <w:pPr>
        <w:pStyle w:val="BodyText"/>
      </w:pPr>
      <w:r>
        <w:t>As one of ASEAN's economic centers, Malaysia plays an active role in regional investment flows. The KLCC area has developed as a hub for multinational corporations and international business networks. The Petronas Twin Towers serve as a visual symbol of Kuala Lumpur's transformation into a global city in Southeast Asia.</w:t>
      </w:r>
    </w:p>
    <w:p w14:paraId="39FA9BE7" w14:textId="319E4F18" w:rsidR="00317CA4" w:rsidRDefault="00317CA4" w:rsidP="00317CA4">
      <w:pPr>
        <w:pStyle w:val="BodyText"/>
        <w:ind w:firstLine="0"/>
        <w:sectPr w:rsidR="00317CA4" w:rsidSect="0088734C">
          <w:type w:val="continuous"/>
          <w:pgSz w:w="11907" w:h="16840" w:code="9"/>
          <w:pgMar w:top="1418" w:right="720" w:bottom="1418" w:left="720" w:header="720" w:footer="720" w:gutter="0"/>
          <w:cols w:num="2" w:space="720"/>
          <w:titlePg/>
          <w:docGrid w:linePitch="360"/>
        </w:sectPr>
      </w:pPr>
    </w:p>
    <w:p w14:paraId="70013D97" w14:textId="01D64F13" w:rsidR="00531785" w:rsidRDefault="00531785" w:rsidP="00317CA4">
      <w:pPr>
        <w:pStyle w:val="figure"/>
        <w:ind w:left="0" w:firstLine="0"/>
        <w:jc w:val="left"/>
      </w:pPr>
    </w:p>
    <w:p w14:paraId="34C72EF7" w14:textId="2EE36231" w:rsidR="00317CA4" w:rsidRDefault="00317CA4" w:rsidP="00B04EED">
      <w:pPr>
        <w:pStyle w:val="figure"/>
      </w:pPr>
      <w:r>
        <w:rPr>
          <w:noProof/>
        </w:rPr>
        <w:lastRenderedPageBreak/>
        <w:drawing>
          <wp:inline distT="0" distB="0" distL="0" distR="0" wp14:anchorId="643ABCBA" wp14:editId="0C769FF0">
            <wp:extent cx="6114553" cy="4305365"/>
            <wp:effectExtent l="0" t="0" r="0" b="0"/>
            <wp:docPr id="940508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08663" name="Picture 9405086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4066" cy="4312063"/>
                    </a:xfrm>
                    <a:prstGeom prst="rect">
                      <a:avLst/>
                    </a:prstGeom>
                  </pic:spPr>
                </pic:pic>
              </a:graphicData>
            </a:graphic>
          </wp:inline>
        </w:drawing>
      </w:r>
    </w:p>
    <w:p w14:paraId="2EFE6948" w14:textId="0C27DACA" w:rsidR="00531785" w:rsidRDefault="00531785" w:rsidP="00531785">
      <w:pPr>
        <w:pStyle w:val="figurecaption"/>
      </w:pPr>
      <w:r>
        <w:t>Research Location Map</w:t>
      </w:r>
    </w:p>
    <w:p w14:paraId="5E3BB898" w14:textId="77777777" w:rsidR="00B04EED" w:rsidRDefault="00B04EED" w:rsidP="00531785">
      <w:pPr>
        <w:pStyle w:val="Heading3"/>
        <w:sectPr w:rsidR="00B04EED" w:rsidSect="00B04EED">
          <w:type w:val="continuous"/>
          <w:pgSz w:w="11907" w:h="16840" w:code="9"/>
          <w:pgMar w:top="1418" w:right="720" w:bottom="1418" w:left="720" w:header="720" w:footer="720" w:gutter="0"/>
          <w:cols w:space="720"/>
          <w:titlePg/>
          <w:docGrid w:linePitch="360"/>
        </w:sectPr>
      </w:pPr>
    </w:p>
    <w:p w14:paraId="3EDEE7A9" w14:textId="77777777" w:rsidR="00531785" w:rsidRDefault="00531785" w:rsidP="00531785">
      <w:pPr>
        <w:pStyle w:val="Heading4"/>
      </w:pPr>
      <w:r>
        <w:t>Political and regional diplomacy dimension</w:t>
      </w:r>
    </w:p>
    <w:p w14:paraId="086A24AD" w14:textId="77777777" w:rsidR="00531785" w:rsidRDefault="00531785" w:rsidP="00531785">
      <w:pPr>
        <w:pStyle w:val="BodyText"/>
      </w:pPr>
      <w:r>
        <w:t xml:space="preserve">Malaysia actively participates in ASEAN diplomatic mechanisms that emphasize regional stability, peaceful conflict resolution, and economic cooperation. This aligns with the findings of </w:t>
      </w:r>
      <w:proofErr w:type="spellStart"/>
      <w:r>
        <w:t>Syailendra</w:t>
      </w:r>
      <w:proofErr w:type="spellEnd"/>
      <w:r>
        <w:t xml:space="preserve"> (2024) and Guan &amp; Koh (2022), which show that ASEAN countries utilize city centers and national symbols to strengthen their diplomatic bargaining position at the regional level.</w:t>
      </w:r>
    </w:p>
    <w:p w14:paraId="6B0DB200" w14:textId="77777777" w:rsidR="00531785" w:rsidRDefault="00531785" w:rsidP="00531785">
      <w:pPr>
        <w:pStyle w:val="Heading3"/>
      </w:pPr>
      <w:r>
        <w:t>The Petronas Twin Towers as a representation of symbolic geopolitics</w:t>
      </w:r>
    </w:p>
    <w:p w14:paraId="077289D6" w14:textId="77777777" w:rsidR="00531785" w:rsidRDefault="00531785" w:rsidP="00531785">
      <w:pPr>
        <w:pStyle w:val="BodyText"/>
      </w:pPr>
      <w:r>
        <w:t>Visual analysis of the Petronas Twin Towers indicates that their geopolitical significance extends beyond their economic function. Architecturally, the towers combine Islamic geometric design elements with advanced engineering technology, reflecting the integration of cultural identity and modernization. The twin structure, connected by the Skybridge, symbolizes unity, connectivity, and institutional strength. As the headquarters of PETRONAS, the towers also visually communicate the importance of national energy resources in supporting Malaysia's economic development and international presence.</w:t>
      </w:r>
    </w:p>
    <w:p w14:paraId="501E9681" w14:textId="77777777" w:rsidR="00531785" w:rsidRDefault="00531785" w:rsidP="00531785">
      <w:pPr>
        <w:pStyle w:val="BodyText"/>
      </w:pPr>
      <w:r>
        <w:t xml:space="preserve">Several symbolic elements observed during fieldwork further reinforce this geopolitical interpretation. The extensive use of the towers' image in tourism materials, commercial advertisements, and public information </w:t>
      </w:r>
      <w:r>
        <w:t>displays demonstrates their function as a visual representation of Malaysia in both domestic and international contexts. These observations suggest that the Petronas Twin Towers operate as symbolic infrastructure that communicates national identity, economic capability, and geopolitical aspirations.</w:t>
      </w:r>
    </w:p>
    <w:p w14:paraId="4080C2CE" w14:textId="77777777" w:rsidR="00531785" w:rsidRDefault="00531785" w:rsidP="00531785">
      <w:pPr>
        <w:pStyle w:val="BodyText"/>
      </w:pPr>
      <w:r>
        <w:t>The Petronas Twin Towers have a close relationship with PETRONAS as Malaysia's national energy company. This relationship reinforces the geopolitical meaning of the towers as symbols of national economic sovereignty, particularly in the energy sector. Mense-Petermann (2021) emphasizes that state-owned enterprises in strategic sectors often function as instruments of foreign policy and economic diplomacy. The Petronas Towers represent Malaysia's position as an energy-producing country with institutional capacity in natural resource management.</w:t>
      </w:r>
    </w:p>
    <w:p w14:paraId="26BE40EA" w14:textId="77777777" w:rsidR="00531785" w:rsidRDefault="00531785" w:rsidP="00531785">
      <w:pPr>
        <w:pStyle w:val="BodyText"/>
      </w:pPr>
      <w:r>
        <w:t xml:space="preserve">The presence of the towers is also linked to the dynamics of the South China Sea. Energy exploration activities involving PETRONAS in strategically sensitive maritime areas place Malaysia in a delicate geopolitical position. National symbols such as the Petronas Twin Towers serve to reinforce narratives of sovereignty and state presence within the geopolitical space of Southeast Asia. </w:t>
      </w:r>
    </w:p>
    <w:p w14:paraId="6BCD0FF2" w14:textId="77777777" w:rsidR="00531785" w:rsidRDefault="00531785" w:rsidP="00531785">
      <w:pPr>
        <w:pStyle w:val="BodyText"/>
      </w:pPr>
      <w:r>
        <w:t xml:space="preserve">Field observations conducted at KLCC on 26-27 October 2025 revealed a highly international urban </w:t>
      </w:r>
      <w:r>
        <w:lastRenderedPageBreak/>
        <w:t>environment surrounding the Petronas Twin Towers. During the observation period, visitors from various countries were observed engaging in tourism, business, and commercial activities within the KLCC complex. The area was characterized by the presence of multinational corporate offices, luxury hotels, international retail outlets, and convention facilities, reflecting Kuala Lumpur's role as a regional center of economic interaction. The continuous movement of international visitors and business actors reinforced the perception of KLCC as a strategic urban space connecting Malaysia to broader regional and global networks.</w:t>
      </w:r>
    </w:p>
    <w:p w14:paraId="34E9A6EF" w14:textId="77777777" w:rsidR="00531785" w:rsidRDefault="00531785" w:rsidP="00531785">
      <w:pPr>
        <w:pStyle w:val="BodyText"/>
      </w:pPr>
      <w:r>
        <w:t>The Petronas Twin Towers dominate the visual landscape of central Kuala Lumpur and remain visible from multiple access points throughout the KLCC area. Their prominence within the urban skyline contributes to the symbolic representation of Malaysia as a modern and globally connected nation. Observation of public spaces around the towers also showed that the structure is frequently used as a focal point for photography, tourism promotion, and international branding activities, further strengthening its role as a national symbol with transnational visibility.</w:t>
      </w:r>
    </w:p>
    <w:p w14:paraId="02B5E795" w14:textId="77777777" w:rsidR="00531785" w:rsidRPr="00531785" w:rsidRDefault="00531785" w:rsidP="00531785">
      <w:pPr>
        <w:pStyle w:val="BodyText"/>
        <w:jc w:val="center"/>
        <w:rPr>
          <w:i/>
          <w:iCs/>
        </w:rPr>
      </w:pPr>
      <w:r w:rsidRPr="00531785">
        <w:rPr>
          <w:i/>
          <w:iCs/>
        </w:rPr>
        <w:t>Field interviews conducted in the KLCC area indicate that the towers' geopolitical position is also reflected in international visitors' perceptions. One informant stated:</w:t>
      </w:r>
    </w:p>
    <w:p w14:paraId="178200EB" w14:textId="77777777" w:rsidR="00531785" w:rsidRPr="00531785" w:rsidRDefault="00531785" w:rsidP="00531785">
      <w:pPr>
        <w:pStyle w:val="BodyText"/>
        <w:jc w:val="center"/>
        <w:rPr>
          <w:i/>
          <w:iCs/>
        </w:rPr>
      </w:pPr>
      <w:r w:rsidRPr="00531785">
        <w:rPr>
          <w:i/>
          <w:iCs/>
        </w:rPr>
        <w:t>"The Petronas Towers give the impression that Malaysia is a country at the center of global interaction. Many tourists and businesspeople from different countries gather in one place."</w:t>
      </w:r>
    </w:p>
    <w:p w14:paraId="7169FD47" w14:textId="77777777" w:rsidR="00531785" w:rsidRPr="00531785" w:rsidRDefault="00531785" w:rsidP="00531785">
      <w:pPr>
        <w:pStyle w:val="BodyText"/>
        <w:jc w:val="center"/>
        <w:rPr>
          <w:i/>
          <w:iCs/>
        </w:rPr>
      </w:pPr>
      <w:r w:rsidRPr="00531785">
        <w:rPr>
          <w:i/>
          <w:iCs/>
        </w:rPr>
        <w:t>This view illustrates how architectural symbols can shape a country's spatial image as a hub of global interaction. Another informant also stated:</w:t>
      </w:r>
    </w:p>
    <w:p w14:paraId="0A268FB2" w14:textId="77777777" w:rsidR="00531785" w:rsidRPr="00531785" w:rsidRDefault="00531785" w:rsidP="00531785">
      <w:pPr>
        <w:pStyle w:val="BodyText"/>
        <w:jc w:val="center"/>
        <w:rPr>
          <w:i/>
          <w:iCs/>
        </w:rPr>
      </w:pPr>
      <w:r w:rsidRPr="00531785">
        <w:rPr>
          <w:i/>
          <w:iCs/>
        </w:rPr>
        <w:t>"At KLCC, it is visible how Malaysia becomes a meeting space for tourism, business, and interstate cooperation. The Petronas Towers feel like Malaysia's identity in the eyes of the world."</w:t>
      </w:r>
    </w:p>
    <w:p w14:paraId="04635FBB" w14:textId="77777777" w:rsidR="00531785" w:rsidRDefault="00531785" w:rsidP="00531785">
      <w:pPr>
        <w:pStyle w:val="BodyText"/>
      </w:pPr>
      <w:r>
        <w:t>These statements show that the strategic position of the towers is directly perceived by the international public through urban spatial experience. At the same time, the position of the Petronas Twin Towers in Kuala Lumpur cannot be separated from Malaysia's geopolitical dimensions within Southeast Asia. The building represents the interconnection between geographical space, economic power, political interests, national energy, and state symbolism within a single strategic urban landscape.</w:t>
      </w:r>
    </w:p>
    <w:p w14:paraId="25471771" w14:textId="44F0B363" w:rsidR="00317CA4" w:rsidRDefault="00317CA4" w:rsidP="00317CA4">
      <w:pPr>
        <w:pStyle w:val="BodyText"/>
      </w:pPr>
      <w:r>
        <w:t xml:space="preserve">Based on Table 1, the geographical dimension of the Petronas Twin Towers is directly connected to regional strategic routes, particularly their proximity to the Strait of Malacca and the South China Sea. These routes are recognized as among the busiest trade and shipping corridors in the world, so the presence of the towers in the center of Malaysia's capital strengthens the country's position within the economic and political dynamics of </w:t>
      </w:r>
      <w:r>
        <w:t>Southeast Asia. This location supports Malaysia's role as a country with bargaining power in regional interactions, including trade, logistics, and ASEAN inter-state relations.</w:t>
      </w:r>
    </w:p>
    <w:p w14:paraId="735C4805" w14:textId="77777777" w:rsidR="00531785" w:rsidRDefault="00531785" w:rsidP="00531785">
      <w:pPr>
        <w:pStyle w:val="tablehead"/>
      </w:pPr>
      <w:r>
        <w:t>Geopolitical Dimensions of the Position of the Petronas Twin Towers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1922"/>
        <w:gridCol w:w="1755"/>
      </w:tblGrid>
      <w:tr w:rsidR="00531785" w:rsidRPr="00531785" w14:paraId="1068244A" w14:textId="77777777" w:rsidTr="00D15F9C">
        <w:trPr>
          <w:trHeight w:val="20"/>
          <w:tblHeader/>
        </w:trPr>
        <w:tc>
          <w:tcPr>
            <w:tcW w:w="0" w:type="auto"/>
            <w:tcBorders>
              <w:top w:val="single" w:sz="4" w:space="0" w:color="auto"/>
              <w:bottom w:val="single" w:sz="4" w:space="0" w:color="auto"/>
            </w:tcBorders>
          </w:tcPr>
          <w:p w14:paraId="0C335FE1" w14:textId="77777777" w:rsidR="00531785" w:rsidRPr="00531785" w:rsidRDefault="00531785" w:rsidP="00531785">
            <w:pPr>
              <w:pStyle w:val="tablecolhead"/>
              <w:ind w:left="0" w:hanging="2"/>
            </w:pPr>
            <w:proofErr w:type="spellStart"/>
            <w:r w:rsidRPr="00531785">
              <w:t>Dimension</w:t>
            </w:r>
            <w:proofErr w:type="spellEnd"/>
          </w:p>
        </w:tc>
        <w:tc>
          <w:tcPr>
            <w:tcW w:w="0" w:type="auto"/>
            <w:tcBorders>
              <w:top w:val="single" w:sz="4" w:space="0" w:color="auto"/>
              <w:bottom w:val="single" w:sz="4" w:space="0" w:color="auto"/>
            </w:tcBorders>
          </w:tcPr>
          <w:p w14:paraId="29F1E526" w14:textId="77777777" w:rsidR="00531785" w:rsidRPr="00531785" w:rsidRDefault="00531785" w:rsidP="00531785">
            <w:pPr>
              <w:pStyle w:val="tablecolhead"/>
              <w:ind w:left="0" w:hanging="2"/>
            </w:pPr>
            <w:proofErr w:type="spellStart"/>
            <w:r w:rsidRPr="00531785">
              <w:t>Characteristics</w:t>
            </w:r>
            <w:proofErr w:type="spellEnd"/>
          </w:p>
        </w:tc>
        <w:tc>
          <w:tcPr>
            <w:tcW w:w="0" w:type="auto"/>
            <w:tcBorders>
              <w:top w:val="single" w:sz="4" w:space="0" w:color="auto"/>
              <w:bottom w:val="single" w:sz="4" w:space="0" w:color="auto"/>
            </w:tcBorders>
          </w:tcPr>
          <w:p w14:paraId="3FF0B54D" w14:textId="77777777" w:rsidR="00531785" w:rsidRPr="00531785" w:rsidRDefault="00531785" w:rsidP="00531785">
            <w:pPr>
              <w:pStyle w:val="tablecolhead"/>
              <w:ind w:left="0" w:hanging="2"/>
            </w:pPr>
            <w:proofErr w:type="spellStart"/>
            <w:r w:rsidRPr="00531785">
              <w:t>Geopolitical</w:t>
            </w:r>
            <w:proofErr w:type="spellEnd"/>
            <w:r w:rsidRPr="00531785">
              <w:t xml:space="preserve"> </w:t>
            </w:r>
            <w:proofErr w:type="spellStart"/>
            <w:r w:rsidRPr="00531785">
              <w:t>Implications</w:t>
            </w:r>
            <w:proofErr w:type="spellEnd"/>
          </w:p>
        </w:tc>
      </w:tr>
      <w:tr w:rsidR="00531785" w:rsidRPr="00531785" w14:paraId="3FC428ED" w14:textId="77777777" w:rsidTr="00D15F9C">
        <w:trPr>
          <w:trHeight w:val="20"/>
        </w:trPr>
        <w:tc>
          <w:tcPr>
            <w:tcW w:w="0" w:type="auto"/>
            <w:tcBorders>
              <w:top w:val="single" w:sz="4" w:space="0" w:color="auto"/>
            </w:tcBorders>
          </w:tcPr>
          <w:p w14:paraId="0644F225" w14:textId="77777777" w:rsidR="00531785" w:rsidRPr="00531785" w:rsidRDefault="00531785" w:rsidP="00531785">
            <w:pPr>
              <w:pStyle w:val="tablecopy"/>
              <w:spacing w:after="0"/>
              <w:ind w:left="0" w:hanging="2"/>
              <w:jc w:val="left"/>
            </w:pPr>
            <w:r w:rsidRPr="00531785">
              <w:t>Geographical</w:t>
            </w:r>
          </w:p>
        </w:tc>
        <w:tc>
          <w:tcPr>
            <w:tcW w:w="0" w:type="auto"/>
            <w:tcBorders>
              <w:top w:val="single" w:sz="4" w:space="0" w:color="auto"/>
            </w:tcBorders>
          </w:tcPr>
          <w:p w14:paraId="1E0A1EF4" w14:textId="77777777" w:rsidR="00531785" w:rsidRPr="00531785" w:rsidRDefault="00531785" w:rsidP="00531785">
            <w:pPr>
              <w:pStyle w:val="tablecopy"/>
              <w:spacing w:after="0"/>
              <w:ind w:left="0" w:hanging="2"/>
              <w:jc w:val="left"/>
            </w:pPr>
            <w:r w:rsidRPr="00531785">
              <w:t>Proximity to the Strait of Malacca and the South China Sea</w:t>
            </w:r>
          </w:p>
        </w:tc>
        <w:tc>
          <w:tcPr>
            <w:tcW w:w="0" w:type="auto"/>
            <w:tcBorders>
              <w:top w:val="single" w:sz="4" w:space="0" w:color="auto"/>
            </w:tcBorders>
          </w:tcPr>
          <w:p w14:paraId="0552423F" w14:textId="77777777" w:rsidR="00531785" w:rsidRPr="00531785" w:rsidRDefault="00531785" w:rsidP="00531785">
            <w:pPr>
              <w:pStyle w:val="tablecopy"/>
              <w:spacing w:after="0"/>
              <w:ind w:left="0" w:hanging="2"/>
              <w:jc w:val="left"/>
            </w:pPr>
            <w:r w:rsidRPr="00531785">
              <w:t>Strengthening Malaysia’s position within global trade routes</w:t>
            </w:r>
          </w:p>
        </w:tc>
      </w:tr>
      <w:tr w:rsidR="00531785" w:rsidRPr="00531785" w14:paraId="705F22A6" w14:textId="77777777" w:rsidTr="00D15F9C">
        <w:trPr>
          <w:trHeight w:val="20"/>
        </w:trPr>
        <w:tc>
          <w:tcPr>
            <w:tcW w:w="0" w:type="auto"/>
          </w:tcPr>
          <w:p w14:paraId="6362F538" w14:textId="77777777" w:rsidR="00531785" w:rsidRPr="00531785" w:rsidRDefault="00531785" w:rsidP="00531785">
            <w:pPr>
              <w:pStyle w:val="tablecopy"/>
              <w:spacing w:after="0"/>
              <w:ind w:left="0" w:hanging="2"/>
              <w:jc w:val="left"/>
            </w:pPr>
            <w:r w:rsidRPr="00531785">
              <w:t>Economic</w:t>
            </w:r>
          </w:p>
        </w:tc>
        <w:tc>
          <w:tcPr>
            <w:tcW w:w="0" w:type="auto"/>
          </w:tcPr>
          <w:p w14:paraId="66665F7A" w14:textId="77777777" w:rsidR="00531785" w:rsidRPr="00531785" w:rsidRDefault="00531785" w:rsidP="00531785">
            <w:pPr>
              <w:pStyle w:val="tablecopy"/>
              <w:spacing w:after="0"/>
              <w:ind w:left="0" w:hanging="2"/>
              <w:jc w:val="left"/>
            </w:pPr>
            <w:r w:rsidRPr="00531785">
              <w:t>Located at the KLCC business center</w:t>
            </w:r>
          </w:p>
        </w:tc>
        <w:tc>
          <w:tcPr>
            <w:tcW w:w="0" w:type="auto"/>
          </w:tcPr>
          <w:p w14:paraId="0069A803" w14:textId="77777777" w:rsidR="00531785" w:rsidRPr="00531785" w:rsidRDefault="00531785" w:rsidP="00531785">
            <w:pPr>
              <w:pStyle w:val="tablecopy"/>
              <w:spacing w:after="0"/>
              <w:ind w:left="0" w:hanging="2"/>
              <w:jc w:val="left"/>
            </w:pPr>
            <w:r w:rsidRPr="00531785">
              <w:t>Affirmation of Malaysia’s role as an ASEAN economic hub</w:t>
            </w:r>
          </w:p>
        </w:tc>
      </w:tr>
      <w:tr w:rsidR="00531785" w:rsidRPr="00531785" w14:paraId="0508E787" w14:textId="77777777" w:rsidTr="00D15F9C">
        <w:trPr>
          <w:trHeight w:val="20"/>
        </w:trPr>
        <w:tc>
          <w:tcPr>
            <w:tcW w:w="0" w:type="auto"/>
          </w:tcPr>
          <w:p w14:paraId="0CC136EA" w14:textId="77777777" w:rsidR="00531785" w:rsidRPr="00531785" w:rsidRDefault="00531785" w:rsidP="00531785">
            <w:pPr>
              <w:pStyle w:val="tablecopy"/>
              <w:spacing w:after="0"/>
              <w:ind w:left="0" w:hanging="2"/>
              <w:jc w:val="left"/>
            </w:pPr>
            <w:r w:rsidRPr="00531785">
              <w:t>Political</w:t>
            </w:r>
          </w:p>
        </w:tc>
        <w:tc>
          <w:tcPr>
            <w:tcW w:w="0" w:type="auto"/>
          </w:tcPr>
          <w:p w14:paraId="6B64736A" w14:textId="77777777" w:rsidR="00531785" w:rsidRPr="00531785" w:rsidRDefault="00531785" w:rsidP="00531785">
            <w:pPr>
              <w:pStyle w:val="tablecopy"/>
              <w:spacing w:after="0"/>
              <w:ind w:left="0" w:hanging="2"/>
              <w:jc w:val="left"/>
            </w:pPr>
            <w:r w:rsidRPr="00531785">
              <w:t>Used as a backdrop for diplomacy and international forums</w:t>
            </w:r>
          </w:p>
        </w:tc>
        <w:tc>
          <w:tcPr>
            <w:tcW w:w="0" w:type="auto"/>
          </w:tcPr>
          <w:p w14:paraId="07ACA37F" w14:textId="77777777" w:rsidR="00531785" w:rsidRPr="00531785" w:rsidRDefault="00531785" w:rsidP="00531785">
            <w:pPr>
              <w:pStyle w:val="tablecopy"/>
              <w:spacing w:after="0"/>
              <w:ind w:left="0" w:hanging="2"/>
              <w:jc w:val="left"/>
            </w:pPr>
            <w:r w:rsidRPr="00531785">
              <w:t>Strengthening the country’s image in regional diplomacy</w:t>
            </w:r>
          </w:p>
        </w:tc>
      </w:tr>
      <w:tr w:rsidR="00531785" w:rsidRPr="00531785" w14:paraId="5B630943" w14:textId="77777777" w:rsidTr="00D15F9C">
        <w:trPr>
          <w:trHeight w:val="20"/>
        </w:trPr>
        <w:tc>
          <w:tcPr>
            <w:tcW w:w="0" w:type="auto"/>
          </w:tcPr>
          <w:p w14:paraId="41A6D5D9" w14:textId="77777777" w:rsidR="00531785" w:rsidRPr="00531785" w:rsidRDefault="00531785" w:rsidP="00531785">
            <w:pPr>
              <w:pStyle w:val="tablecopy"/>
              <w:spacing w:after="0"/>
              <w:ind w:left="0" w:hanging="2"/>
              <w:jc w:val="left"/>
            </w:pPr>
            <w:r w:rsidRPr="00531785">
              <w:t>Energy</w:t>
            </w:r>
          </w:p>
        </w:tc>
        <w:tc>
          <w:tcPr>
            <w:tcW w:w="0" w:type="auto"/>
          </w:tcPr>
          <w:p w14:paraId="3866BB53" w14:textId="77777777" w:rsidR="00531785" w:rsidRPr="00531785" w:rsidRDefault="00531785" w:rsidP="00531785">
            <w:pPr>
              <w:pStyle w:val="tablecopy"/>
              <w:spacing w:after="0"/>
              <w:ind w:left="0" w:hanging="2"/>
              <w:jc w:val="left"/>
            </w:pPr>
            <w:r w:rsidRPr="00531785">
              <w:t>Connected to PETRONAS</w:t>
            </w:r>
          </w:p>
        </w:tc>
        <w:tc>
          <w:tcPr>
            <w:tcW w:w="0" w:type="auto"/>
          </w:tcPr>
          <w:p w14:paraId="582D42A8" w14:textId="77777777" w:rsidR="00531785" w:rsidRPr="00531785" w:rsidRDefault="00531785" w:rsidP="00531785">
            <w:pPr>
              <w:pStyle w:val="tablecopy"/>
              <w:spacing w:after="0"/>
              <w:ind w:left="0" w:hanging="2"/>
              <w:jc w:val="left"/>
            </w:pPr>
            <w:r w:rsidRPr="00531785">
              <w:t>Representation of national economic and energy sovereignty</w:t>
            </w:r>
          </w:p>
        </w:tc>
      </w:tr>
      <w:tr w:rsidR="00531785" w:rsidRPr="00531785" w14:paraId="6B40029F" w14:textId="77777777" w:rsidTr="00D15F9C">
        <w:trPr>
          <w:trHeight w:val="20"/>
        </w:trPr>
        <w:tc>
          <w:tcPr>
            <w:tcW w:w="0" w:type="auto"/>
          </w:tcPr>
          <w:p w14:paraId="01672E34" w14:textId="77777777" w:rsidR="00531785" w:rsidRPr="00531785" w:rsidRDefault="00531785" w:rsidP="00531785">
            <w:pPr>
              <w:pStyle w:val="tablecopy"/>
              <w:spacing w:after="0"/>
              <w:ind w:left="0" w:hanging="2"/>
              <w:jc w:val="left"/>
            </w:pPr>
            <w:r w:rsidRPr="00531785">
              <w:t>Symbolic</w:t>
            </w:r>
          </w:p>
        </w:tc>
        <w:tc>
          <w:tcPr>
            <w:tcW w:w="0" w:type="auto"/>
          </w:tcPr>
          <w:p w14:paraId="6E6432B7" w14:textId="77777777" w:rsidR="00531785" w:rsidRPr="00531785" w:rsidRDefault="00531785" w:rsidP="00531785">
            <w:pPr>
              <w:pStyle w:val="tablecopy"/>
              <w:spacing w:after="0"/>
              <w:ind w:left="0" w:hanging="2"/>
              <w:jc w:val="left"/>
            </w:pPr>
            <w:r w:rsidRPr="00531785">
              <w:t>National and global icon</w:t>
            </w:r>
          </w:p>
        </w:tc>
        <w:tc>
          <w:tcPr>
            <w:tcW w:w="0" w:type="auto"/>
          </w:tcPr>
          <w:p w14:paraId="14FA8EAB" w14:textId="77777777" w:rsidR="00531785" w:rsidRPr="00531785" w:rsidRDefault="00531785" w:rsidP="00531785">
            <w:pPr>
              <w:pStyle w:val="tablecopy"/>
              <w:spacing w:after="0"/>
              <w:ind w:left="0" w:hanging="2"/>
              <w:jc w:val="left"/>
            </w:pPr>
            <w:r w:rsidRPr="00531785">
              <w:t>Formation of Malaysia’s geopolitical image in Southeast Asia</w:t>
            </w:r>
          </w:p>
        </w:tc>
      </w:tr>
    </w:tbl>
    <w:p w14:paraId="07897F16" w14:textId="77777777" w:rsidR="00531785" w:rsidRDefault="00531785" w:rsidP="00531785">
      <w:pPr>
        <w:pStyle w:val="BodyText"/>
        <w:ind w:firstLine="0"/>
      </w:pPr>
    </w:p>
    <w:p w14:paraId="7DB6F051" w14:textId="77777777" w:rsidR="00531785" w:rsidRDefault="00531785" w:rsidP="00531785">
      <w:pPr>
        <w:pStyle w:val="BodyText"/>
      </w:pPr>
      <w:r>
        <w:t>Across the economic, political, energy, and symbolic dimensions, the Petronas Twin Towers function as an integrated representation of Malaysia's national strength. Their presence in the KLCC area affirms Kuala Lumpur's role as a center for business and diplomacy, while their connection with the national energy company PETRONAS demonstrates the country's economic and energy sovereignty. Symbolically, the towers shape Malaysia's image as a modern, stable, and influential country in Southeast Asia, positioning the building as a medium of visual geopolitics that reinforces Malaysia's identity and standing in regional and global arenas.</w:t>
      </w:r>
    </w:p>
    <w:p w14:paraId="6E2E40BE" w14:textId="77777777" w:rsidR="00531785" w:rsidRDefault="00531785" w:rsidP="00531785">
      <w:pPr>
        <w:pStyle w:val="BodyText"/>
      </w:pPr>
      <w:r>
        <w:t>However, not all participants interpreted the towers through a geopolitical lens. One international visitor explained that the Petronas Twin Towers were primarily viewed as a tourism destination and architectural attraction rather than a symbol of regional influence. This variation suggests that the geopolitical meaning of the towers is not uniformly perceived and depends on visitors' prior knowledge, cultural background, and familiarity with Malaysia's regional role. Such differences highlight the socially constructed nature of geopolitical symbolism within urban spaces.</w:t>
      </w:r>
    </w:p>
    <w:p w14:paraId="7F76B9D2" w14:textId="77777777" w:rsidR="00531785" w:rsidRDefault="00531785" w:rsidP="00531785">
      <w:pPr>
        <w:pStyle w:val="Heading2"/>
      </w:pPr>
      <w:r>
        <w:t xml:space="preserve">The Petronas Twin Towers as a KLCC Landmark and a Representation of </w:t>
      </w:r>
      <w:r w:rsidRPr="00531785">
        <w:t>Malaysia's</w:t>
      </w:r>
      <w:r>
        <w:t xml:space="preserve"> Image</w:t>
      </w:r>
    </w:p>
    <w:p w14:paraId="08C3B6C9" w14:textId="77777777" w:rsidR="00531785" w:rsidRDefault="00531785" w:rsidP="00531785">
      <w:pPr>
        <w:pStyle w:val="BodyText"/>
      </w:pPr>
      <w:r>
        <w:t xml:space="preserve">The Petronas Twin Towers occupy a central position within the Kuala Lumpur City Centre (KLCC) and function as a primary orientation point in Malaysia's urban space. The presence of the towers shapes an easily recognizable city visual structure, while also signaling </w:t>
      </w:r>
      <w:r>
        <w:lastRenderedPageBreak/>
        <w:t>Kuala Lumpur's shift from an administrative city toward a global city engaged in Southeast Asia's economic and diplomatic networks. Kozlowski et al. (2022) found that KLCC has developed as an integrated area combining business, commercial, cultural, and tourism functions, with the Petronas Towers as its main axis.</w:t>
      </w:r>
    </w:p>
    <w:p w14:paraId="5747FC7C" w14:textId="77777777" w:rsidR="00531785" w:rsidRDefault="00531785" w:rsidP="00531785">
      <w:pPr>
        <w:pStyle w:val="BodyText"/>
      </w:pPr>
      <w:r>
        <w:t>Field observations conducted within the KLCC area showed that the Petronas Twin Towers function as the dominant visual reference point for visitors navigating the surrounding urban environment. The towers were visible from major pedestrian pathways, transportation access points, commercial districts, and public open spaces. During the observation period, visitors frequently used the towers as a spatial orientation marker when moving through the KLCC complex. This finding demonstrates that the landmark performs not only symbolic functions but also practical spatial functions within the urban landscape.</w:t>
      </w:r>
    </w:p>
    <w:p w14:paraId="7FADF51D" w14:textId="77777777" w:rsidR="00531785" w:rsidRDefault="00531785" w:rsidP="00531785">
      <w:pPr>
        <w:pStyle w:val="BodyText"/>
      </w:pPr>
      <w:r>
        <w:t>Observation also revealed that the image of the Petronas Twin Towers was extensively displayed throughout the KLCC area, including tourism information boards, promotional materials, commercial advertisements, and visitor guides. The repeated visual presence of the towers contributes to the construction of a coherent urban identity in which the landmark becomes inseparable from representations of Kuala Lumpur and Malaysia.</w:t>
      </w:r>
    </w:p>
    <w:p w14:paraId="4FA15218" w14:textId="77777777" w:rsidR="00531785" w:rsidRDefault="00531785" w:rsidP="00531785">
      <w:pPr>
        <w:pStyle w:val="BodyText"/>
      </w:pPr>
      <w:r>
        <w:t>As a landmark, the Petronas Twin Towers serve a symbolic function that extends beyond their physical aspects. Their architectural design, which adopts Islamic geometry combined with modern construction technology, creates a visual image of Malaysia as a progressive Muslim country that adapts to global modernity. This representation is consistently used in national promotional materials, international forums, and global media coverage, positioning the towers as a national visual identity that connects cultural values, religious elements, and development aspirations. The role of the Petronas Twin Towers as a landmark in shaping national image can be classified into several forms, as follows.</w:t>
      </w:r>
    </w:p>
    <w:p w14:paraId="7AD74698" w14:textId="77777777" w:rsidR="00531785" w:rsidRDefault="00531785" w:rsidP="00531785">
      <w:pPr>
        <w:pStyle w:val="Heading3"/>
      </w:pPr>
      <w:r>
        <w:t>National visual identity</w:t>
      </w:r>
    </w:p>
    <w:p w14:paraId="2FBC3A4B" w14:textId="77777777" w:rsidR="00531785" w:rsidRDefault="00531785" w:rsidP="00531785">
      <w:pPr>
        <w:pStyle w:val="BodyText"/>
      </w:pPr>
      <w:r>
        <w:t>The Petronas Twin Towers function as a national visual identity representing Malaysia at the international level. As a world-scale iconic building, they position Malaysia alongside countries that possess global landmarks as markers of presence within the international system. The towers' visuals are consistently used in diplomatic publications, investment promotion materials, and national tourism campaigns, forming a direct association between Malaysia's image and this architectural symbol. This visual identity serves as a marker that is easily recognized and remembered by the global community.</w:t>
      </w:r>
    </w:p>
    <w:p w14:paraId="63151980" w14:textId="77777777" w:rsidR="00531785" w:rsidRDefault="00531785" w:rsidP="00531785">
      <w:pPr>
        <w:pStyle w:val="BodyText"/>
      </w:pPr>
      <w:r>
        <w:t>The repetition of imagery of the Petronas Twin Towers across international media constructs an image of Malaysia as a modern, well-organized, and globally oriented country. This representation is not neutral, as it conveys symbolic messages regarding development capacity, political stability, and Malaysia's readiness to engage at regional and global scales. As a national identity symbol, the towers also reinforce symbolic legitimacy. Global landmarks are often understood as reflections of a country's ability to manage resources, technology, and urban planning. In this regard, the towers represent a state capable of presenting itself confidently to the international community.</w:t>
      </w:r>
    </w:p>
    <w:p w14:paraId="3B801D90" w14:textId="77777777" w:rsidR="00531785" w:rsidRDefault="00531785" w:rsidP="00531785">
      <w:pPr>
        <w:pStyle w:val="BodyText"/>
      </w:pPr>
      <w:r>
        <w:t>Visual analysis indicates that the architectural form of the Petronas Twin Towers contributes significantly to their effectiveness as a national symbol. The integration of Islamic geometric patterns, symmetrical twin structures, and high-rise engineering technology creates a distinctive visual identity that differentiates the towers from other global skyscrapers. These architectural characteristics communicate messages of cultural continuity, technological capability, and national ambition. As a result, the landmark functions not merely as a physical structure but as a visual narrative through which Malaysia represents itself to international audiences.</w:t>
      </w:r>
    </w:p>
    <w:p w14:paraId="3CFB03E4" w14:textId="77777777" w:rsidR="00531785" w:rsidRDefault="00531785" w:rsidP="00531785">
      <w:pPr>
        <w:pStyle w:val="Heading3"/>
      </w:pPr>
      <w:r>
        <w:t xml:space="preserve">Global activity center </w:t>
      </w:r>
      <w:r w:rsidRPr="00531785">
        <w:t>in</w:t>
      </w:r>
      <w:r>
        <w:t xml:space="preserve"> KLCC</w:t>
      </w:r>
    </w:p>
    <w:p w14:paraId="04D10EDC" w14:textId="77777777" w:rsidR="00531785" w:rsidRDefault="00531785" w:rsidP="00531785">
      <w:pPr>
        <w:pStyle w:val="BodyText"/>
      </w:pPr>
      <w:r>
        <w:t>The Kuala Lumpur City Centre has developed as a global activity hub integrating business, economic, and international diplomatic functions. The Petronas Twin Towers stand at the heart of this area and serve as both a visual and symbolic axis for various international-scale activities. The presence of multinational corporate offices, convention centers, and international meeting spaces strengthens KLCC's role as a node of global interaction in Southeast Asia. International business activities, economic exhibitions, and diplomatic forums held in KLCC shape perceptions of Kuala Lumpur as a city directly connected to regional and global dynamics.</w:t>
      </w:r>
    </w:p>
    <w:p w14:paraId="6333B6E8" w14:textId="77777777" w:rsidR="00531785" w:rsidRDefault="00531785" w:rsidP="00531785">
      <w:pPr>
        <w:pStyle w:val="BodyText"/>
      </w:pPr>
      <w:r>
        <w:t>The Petronas Twin Towers function as a symbolic backdrop that reinforces this image. Each international agenda held in this area indirectly reproduces Malaysia's image as a country open to cross-border cooperation. KLCC's role as a global activity center also highlights the relationship between urban space and modern diplomacy. Cities are no longer merely administrative centers, but arenas for interaction among global actors. Within this landscape, the Petronas Twin Towers serve as a symbol that binds economic activity and diplomacy within a single strategic space, strengthening Malaysia's position within ASEAN.</w:t>
      </w:r>
    </w:p>
    <w:p w14:paraId="51FCC9D5" w14:textId="77777777" w:rsidR="00531785" w:rsidRDefault="00531785" w:rsidP="00531785">
      <w:pPr>
        <w:pStyle w:val="BodyText"/>
      </w:pPr>
      <w:r>
        <w:t xml:space="preserve">Field observations further indicated that KLCC operates as a highly internationalized urban environment. During the observation period, visitors from various national backgrounds were observed participating in tourism, business, and commercial activities within the area. The coexistence of corporate offices, luxury retail </w:t>
      </w:r>
      <w:r>
        <w:lastRenderedPageBreak/>
        <w:t>centers, hotels, cultural venues, and public spaces demonstrates how KLCC integrates multiple global functions within a single urban district. These characteristics reinforce the symbolic role of the Petronas Twin Towers as a representation of Malaysia's participation in international economic and social networks.</w:t>
      </w:r>
    </w:p>
    <w:p w14:paraId="69D7CB44" w14:textId="77777777" w:rsidR="00531785" w:rsidRDefault="00531785" w:rsidP="00531785">
      <w:pPr>
        <w:pStyle w:val="Heading3"/>
      </w:pPr>
      <w:r>
        <w:t>Medium for representing national modernity</w:t>
      </w:r>
    </w:p>
    <w:p w14:paraId="169DD635" w14:textId="77777777" w:rsidR="00531785" w:rsidRDefault="00531785" w:rsidP="00531785">
      <w:pPr>
        <w:pStyle w:val="BodyText"/>
      </w:pPr>
      <w:r>
        <w:t>The Petronas Twin Towers reflect Malaysia's post-1990s national modernity narrative through architectural, technological, and cultural symbolism. The towers' design, which integrates Islamic geometry with modern construction technology, represents a progressive Muslim country that adapts to global developments. This representation conveys the message that modernity and cultural identity can coexist within national development.</w:t>
      </w:r>
    </w:p>
    <w:p w14:paraId="402F7550" w14:textId="77777777" w:rsidR="00531785" w:rsidRDefault="00531785" w:rsidP="00531785">
      <w:pPr>
        <w:pStyle w:val="BodyText"/>
      </w:pPr>
      <w:r>
        <w:t>This modernity narrative is closely related to Malaysia's agenda of economic, educational, and technological transformation. The Petronas Twin Towers serve as a visual symbol of the country's ambition to transition toward a knowledge- and innovation-based economy. Their presence in the global public sphere reinforces perceptions of Malaysia as a country with a long-term development vision and international orientation. The strengthening of this modern image is also reflected in the experiences of international visitors. One tourist, M, stated:</w:t>
      </w:r>
    </w:p>
    <w:p w14:paraId="77B45188" w14:textId="77777777" w:rsidR="00531785" w:rsidRPr="00531785" w:rsidRDefault="00531785" w:rsidP="00531785">
      <w:pPr>
        <w:pStyle w:val="BodyText"/>
        <w:jc w:val="center"/>
        <w:rPr>
          <w:i/>
          <w:iCs/>
        </w:rPr>
      </w:pPr>
      <w:r w:rsidRPr="00531785">
        <w:rPr>
          <w:i/>
          <w:iCs/>
        </w:rPr>
        <w:t>"Petronas Towers feel like a symbol of how Malaysia presents itself to the world, modern, organized, and open to international cooperation."</w:t>
      </w:r>
    </w:p>
    <w:p w14:paraId="5BA8B595" w14:textId="77777777" w:rsidR="00531785" w:rsidRDefault="00531785" w:rsidP="00531785">
      <w:pPr>
        <w:pStyle w:val="BodyText"/>
      </w:pPr>
      <w:r>
        <w:t>This statement indicates that the landmark functions as an effective medium of visual communication between Malaysia and the global community. Through urban spatial experience, visitors capture symbolic messages about the country's character, development direction, and Malaysia's stance toward the international community.</w:t>
      </w:r>
    </w:p>
    <w:p w14:paraId="724AF39C" w14:textId="77777777" w:rsidR="00531785" w:rsidRDefault="00531785" w:rsidP="00531785">
      <w:pPr>
        <w:pStyle w:val="BodyText"/>
      </w:pPr>
      <w:r>
        <w:t>However, visitor perceptions were not entirely uniform. One informant explained:</w:t>
      </w:r>
    </w:p>
    <w:p w14:paraId="4070A9BF" w14:textId="77777777" w:rsidR="00531785" w:rsidRPr="00B04EED" w:rsidRDefault="00531785" w:rsidP="00B04EED">
      <w:pPr>
        <w:pStyle w:val="BodyText"/>
        <w:jc w:val="center"/>
        <w:rPr>
          <w:i/>
          <w:iCs/>
        </w:rPr>
      </w:pPr>
      <w:r w:rsidRPr="00B04EED">
        <w:rPr>
          <w:i/>
          <w:iCs/>
        </w:rPr>
        <w:t>"Before coming to Kuala Lumpur, I knew the Petronas Towers mainly from travel advertisements. For me, they are first a tourist attraction and only later a symbol of Malaysia."</w:t>
      </w:r>
    </w:p>
    <w:p w14:paraId="3D2CEAD0" w14:textId="77777777" w:rsidR="00531785" w:rsidRDefault="00531785" w:rsidP="00531785">
      <w:pPr>
        <w:pStyle w:val="BodyText"/>
      </w:pPr>
      <w:r>
        <w:t>This response suggests that while the towers successfully attract international attention, the meanings attached to the landmark vary among visitors. Some perceive the towers primarily as a representation of national progress and international engagement, whereas others view them principally as an iconic tourism destination. These differences demonstrate that national image is interpreted through diverse personal and cultural perspectives.</w:t>
      </w:r>
    </w:p>
    <w:p w14:paraId="7F391303" w14:textId="77777777" w:rsidR="00531785" w:rsidRDefault="00531785" w:rsidP="00531785">
      <w:pPr>
        <w:pStyle w:val="BodyText"/>
      </w:pPr>
      <w:r>
        <w:t xml:space="preserve">The findings indicate that the Petronas Twin Towers function simultaneously as a landmark, a symbol of national identity, and a medium for communicating </w:t>
      </w:r>
      <w:r>
        <w:t>Malaysia's image to international audiences. Beyond their architectural significance, the towers shape how visitors perceive Malaysia's development trajectory, cultural identity, and global engagement. The combination of visual symbolism, spatial prominence, and international recognition makes the landmark a valuable case for examining the relationship between urban space, national representation, and geographical understanding.</w:t>
      </w:r>
    </w:p>
    <w:p w14:paraId="4B9B580B" w14:textId="77777777" w:rsidR="00531785" w:rsidRDefault="00531785" w:rsidP="00B04EED">
      <w:pPr>
        <w:pStyle w:val="Heading2"/>
      </w:pPr>
      <w:r>
        <w:t>Geopolitics as an Analytical Framework for the Position of the Petronas Twin Towers in Southeast Asia</w:t>
      </w:r>
    </w:p>
    <w:p w14:paraId="218D84E0" w14:textId="77777777" w:rsidR="00531785" w:rsidRDefault="00531785" w:rsidP="00531785">
      <w:pPr>
        <w:pStyle w:val="BodyText"/>
      </w:pPr>
      <w:r>
        <w:t xml:space="preserve">Geopolitics is understood as an analytical approach that examines the relationship between space, power, and state strategy in shaping regional and global positions. In the study by </w:t>
      </w:r>
      <w:proofErr w:type="spellStart"/>
      <w:r>
        <w:t>Vysotskyi</w:t>
      </w:r>
      <w:proofErr w:type="spellEnd"/>
      <w:r>
        <w:t xml:space="preserve"> et al. (2022), geopolitics has evolved beyond deterministic approaches that focus solely on physical location, moving toward spatial analysis that incorporates symbols, infrastructure, economic dynamics, and state-representation practices. Southeast Asia occupies a strategic space within this dynamic due to its position along international trade routes, the convergence of energy interests, and its role as an arena for multilateral diplomacy.</w:t>
      </w:r>
    </w:p>
    <w:p w14:paraId="4D2F47E9" w14:textId="77777777" w:rsidR="00531785" w:rsidRDefault="00531785" w:rsidP="00531785">
      <w:pPr>
        <w:pStyle w:val="BodyText"/>
      </w:pPr>
      <w:r>
        <w:t xml:space="preserve">Malaysia holds a prominent position within this landscape due to political stability, active engagement in ASEAN, and a relatively well-established economic capacity. Kuala Lumpur serves as the center of national decision-making and a hub for economic and diplomatic activity. The presence of the Petronas Twin Towers at the heart of the city introduces a visual geopolitical dimension that reinforces national narratives. The findings of </w:t>
      </w:r>
      <w:proofErr w:type="spellStart"/>
      <w:r>
        <w:t>Ulu∆í</w:t>
      </w:r>
      <w:proofErr w:type="spellEnd"/>
      <w:r>
        <w:t>√º (2022) position iconic buildings as instruments of symbolic power representation that operate through imagery, international perception, and spatial appeal.</w:t>
      </w:r>
    </w:p>
    <w:p w14:paraId="29E69AE0" w14:textId="77777777" w:rsidR="00531785" w:rsidRDefault="00531785" w:rsidP="00531785">
      <w:pPr>
        <w:pStyle w:val="BodyText"/>
      </w:pPr>
      <w:r>
        <w:t>Field observations conducted in the KLCC area revealed that the geopolitical significance of the Petronas Twin Towers is reinforced through their spatial dominance within Kuala Lumpur's urban landscape. The towers are positioned at the center of a district characterized by multinational corporate offices, luxury commercial facilities, international hotels, and convention spaces. This concentration of global economic activities creates a spatial environment in which the towers function as a visible representation of Malaysia's integration into regional and international networks.</w:t>
      </w:r>
    </w:p>
    <w:p w14:paraId="0ED04611" w14:textId="77777777" w:rsidR="00531785" w:rsidRDefault="00531785" w:rsidP="00531785">
      <w:pPr>
        <w:pStyle w:val="BodyText"/>
      </w:pPr>
      <w:r>
        <w:t>Observation also indicated that the towers serve as a recurring visual reference in tourism campaigns, public information displays, and commercial branding throughout the KLCC area. Such repeated representation contributes to the construction of a geopolitical narrative that associates Malaysia with economic development, international connectivity, and regional influence.</w:t>
      </w:r>
    </w:p>
    <w:p w14:paraId="671CA09D" w14:textId="77777777" w:rsidR="00531785" w:rsidRDefault="00531785" w:rsidP="00531785">
      <w:pPr>
        <w:pStyle w:val="BodyText"/>
      </w:pPr>
      <w:r>
        <w:t xml:space="preserve">From a geopolitical economy perspective, the connection between the Petronas Twin Towers and PETRONAS carries strategic significance. PETRONAS </w:t>
      </w:r>
      <w:r>
        <w:lastRenderedPageBreak/>
        <w:t>serves as the national energy company involved in oil and gas exploration and production across Southeast Asia, including areas of overlapping interests in the South China Sea. According to Karim &amp; Said (2024), the relationship between architectural symbols and state energy institutions reflects Malaysia's effort to project economic sovereignty and resource management capacity through globally recognizable visual media.</w:t>
      </w:r>
    </w:p>
    <w:p w14:paraId="504A87D8" w14:textId="77777777" w:rsidR="00531785" w:rsidRDefault="00531785" w:rsidP="00531785">
      <w:pPr>
        <w:pStyle w:val="BodyText"/>
      </w:pPr>
      <w:r>
        <w:t>The symbolic role of the towers can be summarized through several geopolitical dimensions as presented in Table 2.</w:t>
      </w:r>
    </w:p>
    <w:p w14:paraId="564A3705" w14:textId="77777777" w:rsidR="00531785" w:rsidRDefault="00531785" w:rsidP="00B04EED">
      <w:pPr>
        <w:pStyle w:val="tablehead"/>
      </w:pPr>
      <w:r>
        <w:t>Geopolitical Framework of the Petronas Twin Towers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764"/>
        <w:gridCol w:w="2061"/>
      </w:tblGrid>
      <w:tr w:rsidR="00B04EED" w:rsidRPr="00E914AA" w14:paraId="4C680850" w14:textId="77777777" w:rsidTr="00B04EED">
        <w:trPr>
          <w:trHeight w:val="20"/>
        </w:trPr>
        <w:tc>
          <w:tcPr>
            <w:tcW w:w="0" w:type="auto"/>
            <w:tcBorders>
              <w:top w:val="single" w:sz="4" w:space="0" w:color="auto"/>
              <w:bottom w:val="single" w:sz="4" w:space="0" w:color="auto"/>
            </w:tcBorders>
          </w:tcPr>
          <w:p w14:paraId="798CA282" w14:textId="77777777" w:rsidR="00B04EED" w:rsidRPr="00B04EED" w:rsidRDefault="00B04EED" w:rsidP="00B04EED">
            <w:pPr>
              <w:pStyle w:val="tablecopy"/>
              <w:spacing w:after="0"/>
              <w:ind w:left="0" w:hanging="2"/>
              <w:jc w:val="left"/>
              <w:rPr>
                <w:b/>
                <w:bCs/>
              </w:rPr>
            </w:pPr>
            <w:r w:rsidRPr="00B04EED">
              <w:rPr>
                <w:b/>
                <w:bCs/>
              </w:rPr>
              <w:t>Aspect</w:t>
            </w:r>
          </w:p>
        </w:tc>
        <w:tc>
          <w:tcPr>
            <w:tcW w:w="0" w:type="auto"/>
            <w:tcBorders>
              <w:top w:val="single" w:sz="4" w:space="0" w:color="auto"/>
              <w:bottom w:val="single" w:sz="4" w:space="0" w:color="auto"/>
            </w:tcBorders>
          </w:tcPr>
          <w:p w14:paraId="23434A6B" w14:textId="77777777" w:rsidR="00B04EED" w:rsidRPr="00B04EED" w:rsidRDefault="00B04EED" w:rsidP="00B04EED">
            <w:pPr>
              <w:pStyle w:val="tablecopy"/>
              <w:spacing w:after="0"/>
              <w:ind w:left="0" w:hanging="2"/>
              <w:jc w:val="left"/>
              <w:rPr>
                <w:b/>
                <w:bCs/>
              </w:rPr>
            </w:pPr>
            <w:r w:rsidRPr="00B04EED">
              <w:rPr>
                <w:b/>
                <w:bCs/>
              </w:rPr>
              <w:t>Description</w:t>
            </w:r>
          </w:p>
        </w:tc>
        <w:tc>
          <w:tcPr>
            <w:tcW w:w="0" w:type="auto"/>
            <w:tcBorders>
              <w:top w:val="single" w:sz="4" w:space="0" w:color="auto"/>
              <w:bottom w:val="single" w:sz="4" w:space="0" w:color="auto"/>
            </w:tcBorders>
          </w:tcPr>
          <w:p w14:paraId="678AA1A4" w14:textId="77777777" w:rsidR="00B04EED" w:rsidRPr="00B04EED" w:rsidRDefault="00B04EED" w:rsidP="00B04EED">
            <w:pPr>
              <w:pStyle w:val="tablecopy"/>
              <w:spacing w:after="0"/>
              <w:ind w:left="0" w:hanging="2"/>
              <w:jc w:val="left"/>
              <w:rPr>
                <w:b/>
                <w:bCs/>
              </w:rPr>
            </w:pPr>
            <w:r w:rsidRPr="00B04EED">
              <w:rPr>
                <w:b/>
                <w:bCs/>
              </w:rPr>
              <w:t>Implications</w:t>
            </w:r>
          </w:p>
        </w:tc>
      </w:tr>
      <w:tr w:rsidR="00B04EED" w:rsidRPr="00E914AA" w14:paraId="300B6949" w14:textId="77777777" w:rsidTr="00B04EED">
        <w:trPr>
          <w:trHeight w:val="20"/>
        </w:trPr>
        <w:tc>
          <w:tcPr>
            <w:tcW w:w="0" w:type="auto"/>
            <w:tcBorders>
              <w:top w:val="single" w:sz="4" w:space="0" w:color="auto"/>
            </w:tcBorders>
          </w:tcPr>
          <w:p w14:paraId="4E13C8F1" w14:textId="77777777" w:rsidR="00B04EED" w:rsidRPr="00B04EED" w:rsidRDefault="00B04EED" w:rsidP="00B04EED">
            <w:pPr>
              <w:pStyle w:val="tablecopy"/>
              <w:spacing w:after="0"/>
              <w:ind w:left="0" w:hanging="2"/>
              <w:jc w:val="left"/>
            </w:pPr>
            <w:r w:rsidRPr="00B04EED">
              <w:t>Spatial</w:t>
            </w:r>
          </w:p>
        </w:tc>
        <w:tc>
          <w:tcPr>
            <w:tcW w:w="0" w:type="auto"/>
            <w:tcBorders>
              <w:top w:val="single" w:sz="4" w:space="0" w:color="auto"/>
            </w:tcBorders>
          </w:tcPr>
          <w:p w14:paraId="6810A442" w14:textId="77777777" w:rsidR="00B04EED" w:rsidRPr="00B04EED" w:rsidRDefault="00B04EED" w:rsidP="00B04EED">
            <w:pPr>
              <w:pStyle w:val="tablecopy"/>
              <w:spacing w:after="0"/>
              <w:ind w:left="0" w:hanging="2"/>
              <w:jc w:val="left"/>
            </w:pPr>
            <w:r w:rsidRPr="00B04EED">
              <w:t>Located at the center of the national capital</w:t>
            </w:r>
          </w:p>
        </w:tc>
        <w:tc>
          <w:tcPr>
            <w:tcW w:w="0" w:type="auto"/>
            <w:tcBorders>
              <w:top w:val="single" w:sz="4" w:space="0" w:color="auto"/>
            </w:tcBorders>
          </w:tcPr>
          <w:p w14:paraId="617A6898" w14:textId="77777777" w:rsidR="00B04EED" w:rsidRPr="00B04EED" w:rsidRDefault="00B04EED" w:rsidP="00B04EED">
            <w:pPr>
              <w:pStyle w:val="tablecopy"/>
              <w:spacing w:after="0"/>
              <w:ind w:left="0" w:hanging="2"/>
              <w:jc w:val="left"/>
            </w:pPr>
            <w:r w:rsidRPr="00B04EED">
              <w:t>Representation of the center of national power</w:t>
            </w:r>
          </w:p>
        </w:tc>
      </w:tr>
      <w:tr w:rsidR="00B04EED" w:rsidRPr="00E914AA" w14:paraId="162CA321" w14:textId="77777777" w:rsidTr="00B04EED">
        <w:trPr>
          <w:trHeight w:val="20"/>
        </w:trPr>
        <w:tc>
          <w:tcPr>
            <w:tcW w:w="0" w:type="auto"/>
          </w:tcPr>
          <w:p w14:paraId="40D2D5BC" w14:textId="77777777" w:rsidR="00B04EED" w:rsidRPr="00B04EED" w:rsidRDefault="00B04EED" w:rsidP="00B04EED">
            <w:pPr>
              <w:pStyle w:val="tablecopy"/>
              <w:spacing w:after="0"/>
              <w:ind w:left="0" w:hanging="2"/>
              <w:jc w:val="left"/>
            </w:pPr>
            <w:r w:rsidRPr="00B04EED">
              <w:t>Economic</w:t>
            </w:r>
          </w:p>
        </w:tc>
        <w:tc>
          <w:tcPr>
            <w:tcW w:w="0" w:type="auto"/>
          </w:tcPr>
          <w:p w14:paraId="735E5A52" w14:textId="77777777" w:rsidR="00B04EED" w:rsidRPr="00B04EED" w:rsidRDefault="00B04EED" w:rsidP="00B04EED">
            <w:pPr>
              <w:pStyle w:val="tablecopy"/>
              <w:spacing w:after="0"/>
              <w:ind w:left="0" w:hanging="2"/>
              <w:jc w:val="left"/>
            </w:pPr>
            <w:r w:rsidRPr="00B04EED">
              <w:t>Directly connected to PETRONAS</w:t>
            </w:r>
          </w:p>
        </w:tc>
        <w:tc>
          <w:tcPr>
            <w:tcW w:w="0" w:type="auto"/>
          </w:tcPr>
          <w:p w14:paraId="05BBF181" w14:textId="77777777" w:rsidR="00B04EED" w:rsidRPr="00B04EED" w:rsidRDefault="00B04EED" w:rsidP="00B04EED">
            <w:pPr>
              <w:pStyle w:val="tablecopy"/>
              <w:spacing w:after="0"/>
              <w:ind w:left="0" w:hanging="2"/>
              <w:jc w:val="left"/>
            </w:pPr>
            <w:r w:rsidRPr="00B04EED">
              <w:t>Narrative of energy and economic sovereignty</w:t>
            </w:r>
          </w:p>
        </w:tc>
      </w:tr>
      <w:tr w:rsidR="00B04EED" w:rsidRPr="00E914AA" w14:paraId="6CCB079E" w14:textId="77777777" w:rsidTr="00B04EED">
        <w:trPr>
          <w:trHeight w:val="20"/>
        </w:trPr>
        <w:tc>
          <w:tcPr>
            <w:tcW w:w="0" w:type="auto"/>
          </w:tcPr>
          <w:p w14:paraId="497AE47B" w14:textId="77777777" w:rsidR="00B04EED" w:rsidRPr="00B04EED" w:rsidRDefault="00B04EED" w:rsidP="00B04EED">
            <w:pPr>
              <w:pStyle w:val="tablecopy"/>
              <w:spacing w:after="0"/>
              <w:ind w:left="0" w:hanging="2"/>
              <w:jc w:val="left"/>
            </w:pPr>
            <w:r w:rsidRPr="00B04EED">
              <w:t>Visual</w:t>
            </w:r>
          </w:p>
        </w:tc>
        <w:tc>
          <w:tcPr>
            <w:tcW w:w="0" w:type="auto"/>
          </w:tcPr>
          <w:p w14:paraId="0A9C2511" w14:textId="77777777" w:rsidR="00B04EED" w:rsidRPr="00B04EED" w:rsidRDefault="00B04EED" w:rsidP="00B04EED">
            <w:pPr>
              <w:pStyle w:val="tablecopy"/>
              <w:spacing w:after="0"/>
              <w:ind w:left="0" w:hanging="2"/>
              <w:jc w:val="left"/>
            </w:pPr>
            <w:r w:rsidRPr="00B04EED">
              <w:t>Global icon of Southeast Asia</w:t>
            </w:r>
          </w:p>
        </w:tc>
        <w:tc>
          <w:tcPr>
            <w:tcW w:w="0" w:type="auto"/>
          </w:tcPr>
          <w:p w14:paraId="2346C39C" w14:textId="77777777" w:rsidR="00B04EED" w:rsidRPr="00B04EED" w:rsidRDefault="00B04EED" w:rsidP="00B04EED">
            <w:pPr>
              <w:pStyle w:val="tablecopy"/>
              <w:spacing w:after="0"/>
              <w:ind w:left="0" w:hanging="2"/>
              <w:jc w:val="left"/>
            </w:pPr>
            <w:r w:rsidRPr="00B04EED">
              <w:t>Strengthening national image in international forums</w:t>
            </w:r>
          </w:p>
        </w:tc>
      </w:tr>
      <w:tr w:rsidR="00B04EED" w:rsidRPr="00E914AA" w14:paraId="751A42F0" w14:textId="77777777" w:rsidTr="00B04EED">
        <w:trPr>
          <w:trHeight w:val="20"/>
        </w:trPr>
        <w:tc>
          <w:tcPr>
            <w:tcW w:w="0" w:type="auto"/>
          </w:tcPr>
          <w:p w14:paraId="43F03155" w14:textId="77777777" w:rsidR="00B04EED" w:rsidRPr="00B04EED" w:rsidRDefault="00B04EED" w:rsidP="00B04EED">
            <w:pPr>
              <w:pStyle w:val="tablecopy"/>
              <w:spacing w:after="0"/>
              <w:ind w:left="0" w:hanging="2"/>
              <w:jc w:val="left"/>
            </w:pPr>
            <w:r w:rsidRPr="00B04EED">
              <w:t>Diplomatic</w:t>
            </w:r>
          </w:p>
        </w:tc>
        <w:tc>
          <w:tcPr>
            <w:tcW w:w="0" w:type="auto"/>
          </w:tcPr>
          <w:p w14:paraId="70A16A29" w14:textId="77777777" w:rsidR="00B04EED" w:rsidRPr="00B04EED" w:rsidRDefault="00B04EED" w:rsidP="00B04EED">
            <w:pPr>
              <w:pStyle w:val="tablecopy"/>
              <w:spacing w:after="0"/>
              <w:ind w:left="0" w:hanging="2"/>
              <w:jc w:val="left"/>
            </w:pPr>
            <w:r w:rsidRPr="00B04EED">
              <w:t>Backdrop for global meetings and events</w:t>
            </w:r>
          </w:p>
        </w:tc>
        <w:tc>
          <w:tcPr>
            <w:tcW w:w="0" w:type="auto"/>
          </w:tcPr>
          <w:p w14:paraId="7B729064" w14:textId="77777777" w:rsidR="00B04EED" w:rsidRPr="00B04EED" w:rsidRDefault="00B04EED" w:rsidP="00B04EED">
            <w:pPr>
              <w:pStyle w:val="tablecopy"/>
              <w:spacing w:after="0"/>
              <w:ind w:left="0" w:hanging="2"/>
              <w:jc w:val="left"/>
            </w:pPr>
            <w:r w:rsidRPr="00B04EED">
              <w:t>Increased visibility of Malaysia’s diplomacy</w:t>
            </w:r>
          </w:p>
        </w:tc>
      </w:tr>
    </w:tbl>
    <w:p w14:paraId="05D001D6" w14:textId="77777777" w:rsidR="00531785" w:rsidRDefault="00531785" w:rsidP="00B04EED">
      <w:pPr>
        <w:pStyle w:val="BodyText"/>
        <w:ind w:firstLine="0"/>
      </w:pPr>
    </w:p>
    <w:p w14:paraId="17E323DE" w14:textId="77777777" w:rsidR="00531785" w:rsidRDefault="00531785" w:rsidP="00531785">
      <w:pPr>
        <w:pStyle w:val="BodyText"/>
      </w:pPr>
      <w:r>
        <w:t>Based on the table, the geopolitical role of the Petronas Twin Towers is constructed through the interaction of spatial location, institutional affiliation, and public perception. Spatially, the towers occupy a strategic position within Kuala Lumpur's most internationally connected district. Institutionally, their association with PETRONAS links the landmark to narratives of national energy security and economic sovereignty. Perceptually, visitors frequently associated the towers with Malaysia's development, international openness, and regional prominence, although the depth of geopolitical understanding varied among individuals.</w:t>
      </w:r>
    </w:p>
    <w:p w14:paraId="7FE3CD2B" w14:textId="77777777" w:rsidR="00531785" w:rsidRDefault="00531785" w:rsidP="00531785">
      <w:pPr>
        <w:pStyle w:val="BodyText"/>
      </w:pPr>
      <w:r>
        <w:t>These findings support contemporary geopolitical perspectives that emphasize representation and symbolic power alongside traditional territorial considerations. The Petronas Twin Towers function as a symbolic geopolitical asset through which Malaysia communicates narratives of stability, modernization, and regional engagement to international audiences. Field research conducted in the KLCC area shows that this symbolic geopolitical dimension is directly received by international visitors. One informant stated:</w:t>
      </w:r>
    </w:p>
    <w:p w14:paraId="6142DC6F" w14:textId="77777777" w:rsidR="00531785" w:rsidRPr="00B04EED" w:rsidRDefault="00531785" w:rsidP="00B04EED">
      <w:pPr>
        <w:pStyle w:val="BodyText"/>
        <w:jc w:val="center"/>
        <w:rPr>
          <w:i/>
          <w:iCs/>
        </w:rPr>
      </w:pPr>
      <w:r w:rsidRPr="00B04EED">
        <w:rPr>
          <w:i/>
          <w:iCs/>
        </w:rPr>
        <w:t>"The Petronas Towers give the impression that Malaysia is a country connected to the international world. Many business and tourism activities from different countries meet in one place."</w:t>
      </w:r>
    </w:p>
    <w:p w14:paraId="5D0F8B3A" w14:textId="77777777" w:rsidR="00531785" w:rsidRDefault="00531785" w:rsidP="00531785">
      <w:pPr>
        <w:pStyle w:val="BodyText"/>
      </w:pPr>
      <w:r>
        <w:t>This statement demonstrates how spatial experience shapes geopolitical perception in practice. Another informant also emphasized that:</w:t>
      </w:r>
    </w:p>
    <w:p w14:paraId="385D2868" w14:textId="77777777" w:rsidR="00531785" w:rsidRPr="00B04EED" w:rsidRDefault="00531785" w:rsidP="00B04EED">
      <w:pPr>
        <w:pStyle w:val="BodyText"/>
        <w:jc w:val="center"/>
        <w:rPr>
          <w:i/>
          <w:iCs/>
        </w:rPr>
      </w:pPr>
      <w:r w:rsidRPr="00B04EED">
        <w:rPr>
          <w:i/>
          <w:iCs/>
        </w:rPr>
        <w:t>"KLCC shows how Malaysia positions itself as a country open to global cooperation, particularly through tourism and business."</w:t>
      </w:r>
    </w:p>
    <w:p w14:paraId="68E3ECAE" w14:textId="77777777" w:rsidR="00531785" w:rsidRDefault="00531785" w:rsidP="00531785">
      <w:pPr>
        <w:pStyle w:val="BodyText"/>
      </w:pPr>
      <w:r>
        <w:t>These visitor perspectives strengthen the argument that geopolitics operates not only through policy and military power, but also through public space, architecture, and experiences of international mobility. However, perceptions of the towers were not entirely uniform among visitors. Another informant noted:</w:t>
      </w:r>
    </w:p>
    <w:p w14:paraId="0AFBB352" w14:textId="77777777" w:rsidR="00531785" w:rsidRPr="00B04EED" w:rsidRDefault="00531785" w:rsidP="00B04EED">
      <w:pPr>
        <w:pStyle w:val="BodyText"/>
        <w:jc w:val="center"/>
        <w:rPr>
          <w:i/>
          <w:iCs/>
        </w:rPr>
      </w:pPr>
      <w:r w:rsidRPr="00B04EED">
        <w:rPr>
          <w:i/>
          <w:iCs/>
        </w:rPr>
        <w:t>"I recognize the Petronas Towers as an important symbol of Malaysia, but I mostly associate them with tourism and architecture rather than geopolitics."</w:t>
      </w:r>
    </w:p>
    <w:p w14:paraId="751AF7AD" w14:textId="77777777" w:rsidR="00531785" w:rsidRDefault="00531785" w:rsidP="00531785">
      <w:pPr>
        <w:pStyle w:val="BodyText"/>
      </w:pPr>
      <w:r>
        <w:t>This perspective suggests that the geopolitical meaning of the towers is not automatically understood by all visitors. While some participants interpreted the landmark as a symbol of Malaysia's international role and economic influence, others primarily viewed it as an iconic tourism destination. These differences demonstrate that geopolitical symbolism is shaped by individual experiences, knowledge, and cultural backgrounds.</w:t>
      </w:r>
    </w:p>
    <w:p w14:paraId="269C8C1B" w14:textId="77777777" w:rsidR="00531785" w:rsidRDefault="00531785" w:rsidP="00531785">
      <w:pPr>
        <w:pStyle w:val="BodyText"/>
      </w:pPr>
      <w:r>
        <w:t>Conceptually, the position of the Petronas Twin Towers can be mapped within a symbolic geopolitical diagram that connects three main elements: Southeast Asia's strategic space, state institutions, and global image.</w:t>
      </w:r>
    </w:p>
    <w:p w14:paraId="5EB79CA2" w14:textId="1AECB2F2" w:rsidR="00531785" w:rsidRDefault="00B04EED" w:rsidP="00B04EED">
      <w:pPr>
        <w:pStyle w:val="figure"/>
      </w:pPr>
      <w:r w:rsidRPr="00F91DDE">
        <w:rPr>
          <w:noProof/>
        </w:rPr>
        <w:drawing>
          <wp:inline distT="0" distB="0" distL="0" distR="0" wp14:anchorId="0599BB8B" wp14:editId="10A738DD">
            <wp:extent cx="3094355" cy="1778000"/>
            <wp:effectExtent l="0" t="0" r="4445" b="0"/>
            <wp:docPr id="1894528146" name="Picture 1" descr="A diagram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28146" name="Picture 1" descr="A diagram of a pyramid&#10;&#10;AI-generated content may be incorrect."/>
                    <pic:cNvPicPr/>
                  </pic:nvPicPr>
                  <pic:blipFill rotWithShape="1">
                    <a:blip r:embed="rId18"/>
                    <a:srcRect b="13820"/>
                    <a:stretch>
                      <a:fillRect/>
                    </a:stretch>
                  </pic:blipFill>
                  <pic:spPr bwMode="auto">
                    <a:xfrm>
                      <a:off x="0" y="0"/>
                      <a:ext cx="3094355" cy="1778000"/>
                    </a:xfrm>
                    <a:prstGeom prst="rect">
                      <a:avLst/>
                    </a:prstGeom>
                    <a:ln>
                      <a:noFill/>
                    </a:ln>
                    <a:extLst>
                      <a:ext uri="{53640926-AAD7-44D8-BBD7-CCE9431645EC}">
                        <a14:shadowObscured xmlns:a14="http://schemas.microsoft.com/office/drawing/2010/main"/>
                      </a:ext>
                    </a:extLst>
                  </pic:spPr>
                </pic:pic>
              </a:graphicData>
            </a:graphic>
          </wp:inline>
        </w:drawing>
      </w:r>
    </w:p>
    <w:p w14:paraId="4500CEDD" w14:textId="77777777" w:rsidR="00531785" w:rsidRDefault="00531785" w:rsidP="00B04EED">
      <w:pPr>
        <w:pStyle w:val="figurecaption"/>
      </w:pPr>
      <w:r>
        <w:t>Diagram of Geopolitical Relations of the Petronas Twin Towers</w:t>
      </w:r>
    </w:p>
    <w:p w14:paraId="4B0CD039" w14:textId="77777777" w:rsidR="00531785" w:rsidRDefault="00531785" w:rsidP="00531785">
      <w:pPr>
        <w:pStyle w:val="BodyText"/>
      </w:pPr>
      <w:r>
        <w:t>Through this framework, geopolitics is understood as a representational practice operating simultaneously at regional and global levels. The Petronas Twin Towers function as a visual medium that encapsulates Malaysia's position along international trade routes, its role in the energy economy, and its active involvement in Southeast Asian regional diplomacy. The building demonstrates how urban architecture can function as a geopolitical language that communicates messages of power, stability, and global orientation to the international community.</w:t>
      </w:r>
    </w:p>
    <w:p w14:paraId="459CEFAD" w14:textId="77777777" w:rsidR="00531785" w:rsidRDefault="00531785" w:rsidP="00B04EED">
      <w:pPr>
        <w:pStyle w:val="Heading2"/>
      </w:pPr>
      <w:r>
        <w:t>Global Image, International Forums, and SDG 17 The Petronas Twin Towers as a Platform for Diplomacy, Sustainable Partnerships, and Geography Learning</w:t>
      </w:r>
    </w:p>
    <w:p w14:paraId="30A398F0" w14:textId="77777777" w:rsidR="00531785" w:rsidRDefault="00531785" w:rsidP="00531785">
      <w:pPr>
        <w:pStyle w:val="BodyText"/>
      </w:pPr>
      <w:r>
        <w:t xml:space="preserve">The Petronas Twin Towers function as a strategic medium in shaping Malaysia's global image, particularly </w:t>
      </w:r>
      <w:r>
        <w:lastRenderedPageBreak/>
        <w:t>through their association with international forums and the sustainable development agenda. Their presence in the Kuala Lumpur City Centre (KLCC) positions them as a symbolic space that represents Malaysia's readiness to engage with the international system. In the study by Hooks et al. (2022), a country's reputation is constructed through political stability, economic performance, and consistent visual representation in global arenas. Within this framework, the towers operate as a visual anchor embedded in diplomatic, economic, and media narratives.</w:t>
      </w:r>
    </w:p>
    <w:p w14:paraId="0F2F07E8" w14:textId="77777777" w:rsidR="00531785" w:rsidRDefault="00531785" w:rsidP="00531785">
      <w:pPr>
        <w:pStyle w:val="BodyText"/>
      </w:pPr>
      <w:r>
        <w:t>Malaysia's global image has strengthened alongside its increasing role as host for international meetings, economic exhibitions, and multilateral forums. KLCC accommodates these activities, while the Petronas Twin Towers function as the primary visual backdrop in international representations. The relationship between space, symbolism, and diplomacy illustrates how urban architecture contributes to building trust and national reputation at the regional and global levels. This dynamic is closely connected to the SDG 17 agenda, which emphasizes global partnerships for sustainable development. The integration between state institutions, PETRONAS, multinational corporations, and international actors in the KLCC area reflects how global cooperation materializes in a specific urban landscape.</w:t>
      </w:r>
    </w:p>
    <w:p w14:paraId="1A4F0528" w14:textId="77777777" w:rsidR="00531785" w:rsidRDefault="00531785" w:rsidP="00531785">
      <w:pPr>
        <w:pStyle w:val="BodyText"/>
      </w:pPr>
      <w:r>
        <w:t xml:space="preserve">The interconnection between global image, international forums, economic diplomacy, and SDG 17 is summarized in Table 3. </w:t>
      </w:r>
    </w:p>
    <w:p w14:paraId="393AE2EF" w14:textId="4A739A5B" w:rsidR="00531785" w:rsidRDefault="00531785" w:rsidP="00B04EED">
      <w:pPr>
        <w:pStyle w:val="tablehead"/>
      </w:pPr>
      <w:r>
        <w:t xml:space="preserve">The Role of </w:t>
      </w:r>
      <w:r w:rsidRPr="00B04EED">
        <w:t>the</w:t>
      </w:r>
      <w:r>
        <w:t xml:space="preserve"> Petronas Twin Towers in Global Image, International Forums, and SDG 17</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2120"/>
        <w:gridCol w:w="1513"/>
      </w:tblGrid>
      <w:tr w:rsidR="00B04EED" w:rsidRPr="00B04EED" w14:paraId="30FBDB04" w14:textId="77777777" w:rsidTr="00B04EED">
        <w:trPr>
          <w:trHeight w:val="20"/>
          <w:tblHeader/>
        </w:trPr>
        <w:tc>
          <w:tcPr>
            <w:tcW w:w="0" w:type="auto"/>
            <w:tcBorders>
              <w:top w:val="single" w:sz="4" w:space="0" w:color="auto"/>
              <w:bottom w:val="single" w:sz="4" w:space="0" w:color="auto"/>
            </w:tcBorders>
          </w:tcPr>
          <w:p w14:paraId="4FF58274" w14:textId="77777777" w:rsidR="00B04EED" w:rsidRPr="00317CA4" w:rsidRDefault="00B04EED" w:rsidP="00317CA4">
            <w:pPr>
              <w:pStyle w:val="tablecolhead"/>
              <w:ind w:left="0" w:hanging="2"/>
              <w:jc w:val="left"/>
            </w:pPr>
            <w:proofErr w:type="spellStart"/>
            <w:r w:rsidRPr="00317CA4">
              <w:t>Aspect</w:t>
            </w:r>
            <w:proofErr w:type="spellEnd"/>
          </w:p>
        </w:tc>
        <w:tc>
          <w:tcPr>
            <w:tcW w:w="0" w:type="auto"/>
            <w:tcBorders>
              <w:top w:val="single" w:sz="4" w:space="0" w:color="auto"/>
              <w:bottom w:val="single" w:sz="4" w:space="0" w:color="auto"/>
            </w:tcBorders>
          </w:tcPr>
          <w:p w14:paraId="189A7D7A" w14:textId="77777777" w:rsidR="00B04EED" w:rsidRPr="00317CA4" w:rsidRDefault="00B04EED" w:rsidP="00317CA4">
            <w:pPr>
              <w:pStyle w:val="tablecolhead"/>
              <w:ind w:left="0" w:hanging="2"/>
              <w:jc w:val="left"/>
            </w:pPr>
            <w:proofErr w:type="spellStart"/>
            <w:r w:rsidRPr="00317CA4">
              <w:t>Role</w:t>
            </w:r>
            <w:proofErr w:type="spellEnd"/>
            <w:r w:rsidRPr="00317CA4">
              <w:t xml:space="preserve"> </w:t>
            </w:r>
            <w:proofErr w:type="spellStart"/>
            <w:r w:rsidRPr="00317CA4">
              <w:t>Description</w:t>
            </w:r>
            <w:proofErr w:type="spellEnd"/>
          </w:p>
        </w:tc>
        <w:tc>
          <w:tcPr>
            <w:tcW w:w="0" w:type="auto"/>
            <w:tcBorders>
              <w:top w:val="single" w:sz="4" w:space="0" w:color="auto"/>
              <w:bottom w:val="single" w:sz="4" w:space="0" w:color="auto"/>
            </w:tcBorders>
          </w:tcPr>
          <w:p w14:paraId="79CC62EB" w14:textId="77777777" w:rsidR="00B04EED" w:rsidRPr="00317CA4" w:rsidRDefault="00B04EED" w:rsidP="00317CA4">
            <w:pPr>
              <w:pStyle w:val="tablecolhead"/>
              <w:ind w:left="0" w:hanging="2"/>
              <w:jc w:val="left"/>
            </w:pPr>
            <w:r w:rsidRPr="00317CA4">
              <w:t xml:space="preserve">Linkage </w:t>
            </w:r>
            <w:proofErr w:type="spellStart"/>
            <w:r w:rsidRPr="00317CA4">
              <w:t>to</w:t>
            </w:r>
            <w:proofErr w:type="spellEnd"/>
            <w:r w:rsidRPr="00317CA4">
              <w:t xml:space="preserve"> SDG 17</w:t>
            </w:r>
          </w:p>
        </w:tc>
      </w:tr>
      <w:tr w:rsidR="00B04EED" w:rsidRPr="00B04EED" w14:paraId="7992DD67" w14:textId="77777777" w:rsidTr="00B04EED">
        <w:trPr>
          <w:trHeight w:val="20"/>
        </w:trPr>
        <w:tc>
          <w:tcPr>
            <w:tcW w:w="0" w:type="auto"/>
            <w:tcBorders>
              <w:top w:val="single" w:sz="4" w:space="0" w:color="auto"/>
            </w:tcBorders>
          </w:tcPr>
          <w:p w14:paraId="490DF5DB" w14:textId="77777777" w:rsidR="00B04EED" w:rsidRPr="00B04EED" w:rsidRDefault="00B04EED" w:rsidP="00B04EED">
            <w:pPr>
              <w:pStyle w:val="tablecopy"/>
              <w:spacing w:after="0"/>
              <w:ind w:left="0" w:hanging="2"/>
              <w:jc w:val="left"/>
            </w:pPr>
            <w:r w:rsidRPr="00B04EED">
              <w:t>National global image</w:t>
            </w:r>
          </w:p>
        </w:tc>
        <w:tc>
          <w:tcPr>
            <w:tcW w:w="0" w:type="auto"/>
            <w:tcBorders>
              <w:top w:val="single" w:sz="4" w:space="0" w:color="auto"/>
            </w:tcBorders>
          </w:tcPr>
          <w:p w14:paraId="379D9E63" w14:textId="77777777" w:rsidR="00B04EED" w:rsidRPr="00B04EED" w:rsidRDefault="00B04EED" w:rsidP="00B04EED">
            <w:pPr>
              <w:pStyle w:val="tablecopy"/>
              <w:spacing w:after="0"/>
              <w:ind w:left="0" w:hanging="2"/>
              <w:jc w:val="left"/>
            </w:pPr>
            <w:r w:rsidRPr="00B04EED">
              <w:t>The Petronas Twin Towers function as Malaysia’s visual icon frequently used in diplomatic promotion, investment campaigns, and international tourism. This visual builds perceptions of Malaysia as a modern, stable country open to global cooperation.</w:t>
            </w:r>
          </w:p>
        </w:tc>
        <w:tc>
          <w:tcPr>
            <w:tcW w:w="0" w:type="auto"/>
            <w:tcBorders>
              <w:top w:val="single" w:sz="4" w:space="0" w:color="auto"/>
            </w:tcBorders>
          </w:tcPr>
          <w:p w14:paraId="34D20EE9" w14:textId="77777777" w:rsidR="00B04EED" w:rsidRPr="00B04EED" w:rsidRDefault="00B04EED" w:rsidP="00B04EED">
            <w:pPr>
              <w:pStyle w:val="tablecopy"/>
              <w:spacing w:after="0"/>
              <w:ind w:left="0" w:hanging="2"/>
              <w:jc w:val="left"/>
            </w:pPr>
            <w:r w:rsidRPr="00B04EED">
              <w:t>Enhancing international partners’ trust as a foundation for cross-border partnerships</w:t>
            </w:r>
          </w:p>
        </w:tc>
      </w:tr>
      <w:tr w:rsidR="00B04EED" w:rsidRPr="00B04EED" w14:paraId="1567CB37" w14:textId="77777777" w:rsidTr="00B04EED">
        <w:trPr>
          <w:trHeight w:val="20"/>
        </w:trPr>
        <w:tc>
          <w:tcPr>
            <w:tcW w:w="0" w:type="auto"/>
          </w:tcPr>
          <w:p w14:paraId="1244B3AE" w14:textId="77777777" w:rsidR="00B04EED" w:rsidRPr="00B04EED" w:rsidRDefault="00B04EED" w:rsidP="00B04EED">
            <w:pPr>
              <w:pStyle w:val="tablecopy"/>
              <w:spacing w:after="0"/>
              <w:ind w:left="0" w:hanging="2"/>
              <w:jc w:val="left"/>
            </w:pPr>
            <w:r w:rsidRPr="00B04EED">
              <w:t>International forums</w:t>
            </w:r>
          </w:p>
        </w:tc>
        <w:tc>
          <w:tcPr>
            <w:tcW w:w="0" w:type="auto"/>
          </w:tcPr>
          <w:p w14:paraId="70ADC60B" w14:textId="77777777" w:rsidR="00B04EED" w:rsidRPr="00B04EED" w:rsidRDefault="00B04EED" w:rsidP="00B04EED">
            <w:pPr>
              <w:pStyle w:val="tablecopy"/>
              <w:spacing w:after="0"/>
              <w:ind w:left="0" w:hanging="2"/>
              <w:jc w:val="left"/>
            </w:pPr>
            <w:r w:rsidRPr="00B04EED">
              <w:t>The KLCC area serves as a venue for high-level meetings, economic conferences, and ASEAN regional forums. The Petronas Towers act as a symbolic backdrop that strengthens Malaysia’s legitimacy as a host of international events.</w:t>
            </w:r>
          </w:p>
        </w:tc>
        <w:tc>
          <w:tcPr>
            <w:tcW w:w="0" w:type="auto"/>
          </w:tcPr>
          <w:p w14:paraId="559377CD" w14:textId="77777777" w:rsidR="00B04EED" w:rsidRPr="00B04EED" w:rsidRDefault="00B04EED" w:rsidP="00B04EED">
            <w:pPr>
              <w:pStyle w:val="tablecopy"/>
              <w:spacing w:after="0"/>
              <w:ind w:left="0" w:hanging="2"/>
              <w:jc w:val="left"/>
            </w:pPr>
            <w:r w:rsidRPr="00B04EED">
              <w:t>Supporting SDG 17 targets related to strengthening multilateral and regional cooperation</w:t>
            </w:r>
          </w:p>
        </w:tc>
      </w:tr>
      <w:tr w:rsidR="00B04EED" w:rsidRPr="00B04EED" w14:paraId="76168EAD" w14:textId="77777777" w:rsidTr="00B04EED">
        <w:trPr>
          <w:trHeight w:val="20"/>
        </w:trPr>
        <w:tc>
          <w:tcPr>
            <w:tcW w:w="0" w:type="auto"/>
          </w:tcPr>
          <w:p w14:paraId="49EBCB5B" w14:textId="77777777" w:rsidR="00B04EED" w:rsidRPr="00B04EED" w:rsidRDefault="00B04EED" w:rsidP="00B04EED">
            <w:pPr>
              <w:pStyle w:val="tablecopy"/>
              <w:spacing w:after="0"/>
              <w:ind w:left="0" w:hanging="2"/>
              <w:jc w:val="left"/>
            </w:pPr>
            <w:r w:rsidRPr="00B04EED">
              <w:t>Economic diplomacy</w:t>
            </w:r>
          </w:p>
        </w:tc>
        <w:tc>
          <w:tcPr>
            <w:tcW w:w="0" w:type="auto"/>
          </w:tcPr>
          <w:p w14:paraId="75E53BBF" w14:textId="77777777" w:rsidR="00B04EED" w:rsidRPr="00B04EED" w:rsidRDefault="00B04EED" w:rsidP="00B04EED">
            <w:pPr>
              <w:pStyle w:val="tablecopy"/>
              <w:spacing w:after="0"/>
              <w:ind w:left="0" w:hanging="2"/>
              <w:jc w:val="left"/>
            </w:pPr>
            <w:r w:rsidRPr="00B04EED">
              <w:t xml:space="preserve">The connection between the towers and PETRONAS highlights Malaysia’s role in the global energy sector, </w:t>
            </w:r>
            <w:r w:rsidRPr="00B04EED">
              <w:t>including exploration collaboration, technology transfer, and cross-border investment.</w:t>
            </w:r>
          </w:p>
        </w:tc>
        <w:tc>
          <w:tcPr>
            <w:tcW w:w="0" w:type="auto"/>
          </w:tcPr>
          <w:p w14:paraId="7631F87B" w14:textId="77777777" w:rsidR="00B04EED" w:rsidRPr="00B04EED" w:rsidRDefault="00B04EED" w:rsidP="00B04EED">
            <w:pPr>
              <w:pStyle w:val="tablecopy"/>
              <w:spacing w:after="0"/>
              <w:ind w:left="0" w:hanging="2"/>
              <w:jc w:val="left"/>
            </w:pPr>
            <w:r w:rsidRPr="00B04EED">
              <w:t>Supporting public–private partnerships and international technology transfer</w:t>
            </w:r>
          </w:p>
        </w:tc>
      </w:tr>
      <w:tr w:rsidR="00B04EED" w:rsidRPr="00B04EED" w14:paraId="51C7FB7E" w14:textId="77777777" w:rsidTr="00B04EED">
        <w:trPr>
          <w:trHeight w:val="20"/>
        </w:trPr>
        <w:tc>
          <w:tcPr>
            <w:tcW w:w="0" w:type="auto"/>
          </w:tcPr>
          <w:p w14:paraId="5A6C76C3" w14:textId="77777777" w:rsidR="00B04EED" w:rsidRPr="00B04EED" w:rsidRDefault="00B04EED" w:rsidP="00B04EED">
            <w:pPr>
              <w:pStyle w:val="tablecopy"/>
              <w:spacing w:after="0"/>
              <w:ind w:left="0" w:hanging="2"/>
              <w:jc w:val="left"/>
            </w:pPr>
            <w:r w:rsidRPr="00B04EED">
              <w:t>Global business hub</w:t>
            </w:r>
          </w:p>
        </w:tc>
        <w:tc>
          <w:tcPr>
            <w:tcW w:w="0" w:type="auto"/>
          </w:tcPr>
          <w:p w14:paraId="0E14F0AF" w14:textId="77777777" w:rsidR="00B04EED" w:rsidRPr="00B04EED" w:rsidRDefault="00B04EED" w:rsidP="00B04EED">
            <w:pPr>
              <w:pStyle w:val="tablecopy"/>
              <w:spacing w:after="0"/>
              <w:ind w:left="0" w:hanging="2"/>
              <w:jc w:val="left"/>
            </w:pPr>
            <w:r w:rsidRPr="00B04EED">
              <w:t>KLCC has developed as an international business node bringing together multinational companies, investors, and global institutions. The Petronas Towers function as the anchor of this area.</w:t>
            </w:r>
          </w:p>
        </w:tc>
        <w:tc>
          <w:tcPr>
            <w:tcW w:w="0" w:type="auto"/>
          </w:tcPr>
          <w:p w14:paraId="546214E2" w14:textId="77777777" w:rsidR="00B04EED" w:rsidRPr="00B04EED" w:rsidRDefault="00B04EED" w:rsidP="00B04EED">
            <w:pPr>
              <w:pStyle w:val="tablecopy"/>
              <w:spacing w:after="0"/>
              <w:ind w:left="0" w:hanging="2"/>
              <w:jc w:val="left"/>
            </w:pPr>
            <w:r w:rsidRPr="00B04EED">
              <w:t>Strengthening foreign investment flows and sustainable economic collaboration</w:t>
            </w:r>
          </w:p>
        </w:tc>
      </w:tr>
      <w:tr w:rsidR="00B04EED" w:rsidRPr="00B04EED" w14:paraId="41D1F6E0" w14:textId="77777777" w:rsidTr="00B04EED">
        <w:trPr>
          <w:trHeight w:val="20"/>
        </w:trPr>
        <w:tc>
          <w:tcPr>
            <w:tcW w:w="0" w:type="auto"/>
          </w:tcPr>
          <w:p w14:paraId="0007DF01" w14:textId="77777777" w:rsidR="00B04EED" w:rsidRPr="00B04EED" w:rsidRDefault="00B04EED" w:rsidP="00B04EED">
            <w:pPr>
              <w:pStyle w:val="tablecopy"/>
              <w:spacing w:after="0"/>
              <w:ind w:left="0" w:hanging="2"/>
              <w:jc w:val="left"/>
            </w:pPr>
            <w:r w:rsidRPr="00B04EED">
              <w:t>Sustainability agenda</w:t>
            </w:r>
          </w:p>
        </w:tc>
        <w:tc>
          <w:tcPr>
            <w:tcW w:w="0" w:type="auto"/>
          </w:tcPr>
          <w:p w14:paraId="4902CEC1" w14:textId="77777777" w:rsidR="00B04EED" w:rsidRPr="00B04EED" w:rsidRDefault="00B04EED" w:rsidP="00B04EED">
            <w:pPr>
              <w:pStyle w:val="tablecopy"/>
              <w:spacing w:after="0"/>
              <w:ind w:left="0" w:hanging="2"/>
              <w:jc w:val="left"/>
            </w:pPr>
            <w:r w:rsidRPr="00B04EED">
              <w:t>PETRONAS sustainability programs and the use of KLCC as a global dialogue space demonstrate Malaysia’s engagement in energy transition and sustainable development issues.</w:t>
            </w:r>
          </w:p>
        </w:tc>
        <w:tc>
          <w:tcPr>
            <w:tcW w:w="0" w:type="auto"/>
          </w:tcPr>
          <w:p w14:paraId="0BC28E18" w14:textId="77777777" w:rsidR="00B04EED" w:rsidRPr="00B04EED" w:rsidRDefault="00B04EED" w:rsidP="00B04EED">
            <w:pPr>
              <w:pStyle w:val="tablecopy"/>
              <w:spacing w:after="0"/>
              <w:ind w:left="0" w:hanging="2"/>
              <w:jc w:val="left"/>
            </w:pPr>
            <w:r w:rsidRPr="00B04EED">
              <w:t>Aligned with SDG 17 targets on partnership-based sustainable development</w:t>
            </w:r>
          </w:p>
        </w:tc>
      </w:tr>
    </w:tbl>
    <w:p w14:paraId="2320C9D6" w14:textId="77777777" w:rsidR="00531785" w:rsidRDefault="00531785" w:rsidP="00B04EED">
      <w:pPr>
        <w:pStyle w:val="BodyText"/>
        <w:ind w:firstLine="0"/>
      </w:pPr>
    </w:p>
    <w:p w14:paraId="3BEBD682" w14:textId="77777777" w:rsidR="00531785" w:rsidRDefault="00531785" w:rsidP="00531785">
      <w:pPr>
        <w:pStyle w:val="BodyText"/>
      </w:pPr>
      <w:r>
        <w:t xml:space="preserve">Based on Table 3, the geopolitical significance of the Petronas Twin Towers operates through the integration of symbolic representation, institutional capacity, and international cooperation. The visual strength of the towers is continuously reproduced in international arenas, reinforcing Malaysia's position on the global symbolic map (Mohamad et al., 2022). Their status as a globally recognized architectural icon makes Malaysia identifiable within international discourse, comparable to other major urban centers in Asia and Europe. This visual representation functions as a non-verbal expression of state presence, communicating narratives of modernity, stability, and readiness to participate in global interaction. </w:t>
      </w:r>
    </w:p>
    <w:p w14:paraId="619102CE" w14:textId="77777777" w:rsidR="00531785" w:rsidRDefault="00531785" w:rsidP="00531785">
      <w:pPr>
        <w:pStyle w:val="BodyText"/>
      </w:pPr>
      <w:r>
        <w:t>The reinforcement of Malaysia's global image is closely connected to the use of the Petronas Twin Towers and the KLCC area as venues for international forums (Rahmat &amp; Ismail, 2025). Diplomatic meetings, economic exhibitions, and multilateral agendas conducted in this area demonstrate Malaysia's infrastructural readiness and governance capacity. The presence of a national architectural icon as a backdrop for these activities strengthens perceptions of legitimacy and institutional reliability in regional diplomacy. The association between the towers and PETRONAS further highlights the integration of architectural symbolism with the state's strategic economic actors (Sklair, 2025). PETRONAS operates within global energy networks involving cross-border exploration, investment flows, and technological exchange. The Petronas Twin Towers therefore represent state capacity in managing strategic resources within an international economic framework. This role aligns with SDG 17, particularly in strengthening global partnerships by fostering cooperation among government institutions, corporations, and transnational actors (Bakar et al., 2025).</w:t>
      </w:r>
    </w:p>
    <w:p w14:paraId="132580EA" w14:textId="77777777" w:rsidR="00531785" w:rsidRDefault="00531785" w:rsidP="00531785">
      <w:pPr>
        <w:pStyle w:val="BodyText"/>
      </w:pPr>
      <w:r>
        <w:t xml:space="preserve">As a geopolitical symbol, the towers contribute to Malaysia's legitimacy at both regional and global scales. </w:t>
      </w:r>
      <w:r>
        <w:lastRenderedPageBreak/>
        <w:t>World-class architectural projects reflect a state's ability to design, finance, and implement high-technology development initiatives (Yacob, 2021). This representation influences perceptions of administrative effectiveness and institutional stability, which in turn shape Malaysia's bargaining position in political and economic interactions across Southeast Asia. The tourism dimension centered in KLCC also reinforces this geopolitical visibility. International tourism flows converging around the Petronas Twin Towers integrate economic, cultural, and diplomatic interactions within a single spatial node (Taufik et al., 2022). The concentration of global mobility in this urban landscape illustrates how architecture functions as an anchor of international connectivity.</w:t>
      </w:r>
    </w:p>
    <w:p w14:paraId="20CF4FF3" w14:textId="77777777" w:rsidR="00531785" w:rsidRDefault="00531785" w:rsidP="00531785">
      <w:pPr>
        <w:pStyle w:val="BodyText"/>
      </w:pPr>
      <w:r>
        <w:t>From a geography education perspective, the findings of this study demonstrate the pedagogical potential of the Petronas Twin Towers as a contextual learning resource for understanding geopolitical processes in Southeast Asia. Rather than approaching concepts such as economic diplomacy, regional cooperation, and global partnerships solely through textbooks or policy documents, students can examine how these processes are reflected in a concrete urban landscape. The Petronas Twin Towers and the KLCC area provide a spatial context through which abstract geopolitical concepts become more observable and meaningful.</w:t>
      </w:r>
    </w:p>
    <w:p w14:paraId="4C3AE6EE" w14:textId="77777777" w:rsidR="00531785" w:rsidRDefault="00531785" w:rsidP="00531785">
      <w:pPr>
        <w:pStyle w:val="BodyText"/>
      </w:pPr>
      <w:r>
        <w:t>This perspective is closely related to the development of spatial thinking, which emphasizes the ability to analyze relationships among location, scale, connectivity, and human activities. By examining the position of the Petronas Twin Towers within regional trade networks, international business flows, and diplomatic interactions, students can better understand how geographical space influences political and economic processes. The case also contributes to geopolitical literacy by encouraging learners to interpret how power, national identity, and international relations are represented through symbols and urban infrastructure.</w:t>
      </w:r>
    </w:p>
    <w:p w14:paraId="0ABA2782" w14:textId="77777777" w:rsidR="00531785" w:rsidRDefault="00531785" w:rsidP="00531785">
      <w:pPr>
        <w:pStyle w:val="BodyText"/>
      </w:pPr>
      <w:r>
        <w:t>Furthermore, the Petronas Twin Towers can support place-based learning because they connect geographical concepts with a real-world location that embodies interactions among economy, culture, politics, and sustainability. Through inquiry-based learning activities, students may investigate questions such as why Malaysia developed the towers as a national symbol, how PETRONAS contributes to economic diplomacy, or how KLCC functions within regional and global networks. Such inquiries encourage critical analysis and enable learners to construct geographical understanding through direct engagement with authentic spatial phenomena.</w:t>
      </w:r>
    </w:p>
    <w:p w14:paraId="4DCC3086" w14:textId="78900298" w:rsidR="00537B9A" w:rsidRDefault="00531785" w:rsidP="00531785">
      <w:pPr>
        <w:pStyle w:val="BodyText"/>
      </w:pPr>
      <w:r>
        <w:t xml:space="preserve">The findings suggest that the Petronas Twin Towers possess significance not only as a geopolitical symbol but also as a potential educational resource for geography learning. As a landmark that embodies relationships among space, power, economy, diplomacy, and </w:t>
      </w:r>
      <w:r>
        <w:t>sustainability, the towers provide an accessible case through which students can explore contemporary geopolitical issues in Southeast Asia. While this study does not directly assess classroom implementation, the analysis highlights opportunities for integrating symbolic urban landscapes into geography education to strengthen spatial literacy, geopolitical awareness, and critical geographical inquiry</w:t>
      </w:r>
      <w:r>
        <w:t>.</w:t>
      </w:r>
    </w:p>
    <w:p w14:paraId="2D6E65A3" w14:textId="77777777" w:rsidR="0065280A" w:rsidRDefault="0065280A" w:rsidP="0065280A">
      <w:pPr>
        <w:pStyle w:val="Heading1"/>
      </w:pPr>
      <w:r>
        <w:t>Conclusion</w:t>
      </w:r>
    </w:p>
    <w:p w14:paraId="2046E856" w14:textId="3F5DDD74" w:rsidR="00537B9A" w:rsidRDefault="00B04EED" w:rsidP="00B04EED">
      <w:pPr>
        <w:pStyle w:val="BodyText"/>
      </w:pPr>
      <w:r w:rsidRPr="00B04EED">
        <w:t>This study demonstrates that the Petronas Twin Towers function as a strategic geopolitical instrument that articulates Malaysia’s position in Southeast Asia through symbolic space, economic representation, and global visibility. The findings confirm that the towers operate beyond architectural significance by projecting national capacity, energy sovereignty, and diplomatic readiness within regional and global systems. Their integration with Kuala Lumpur City Centre and PETRONAS reinforces Malaysia’s role as an active participant in international trade networks, energy governance, and multilateral cooperation, aligning with the objectives of SDG 17 on global partnerships. The research identifies a new understanding of urban landmarks as a form of geopolitical language, in which visual representation contributes to state legitimacy, partnership formation, and international trust without relying on formal political mechanisms. These findings imply that symbolic urban infrastructure can serve as a non-military geopolitical asset, strengthening state positioning, diplomatic credibility, and sustainable cooperation in contemporary regional and global relations.  Future research may further explore the geopolitical role of iconic urban landmarks by applying comparative analysis across Southeast Asian cities to assess how visual symbols influence regional positioning and diplomatic credibility. Additional studies could incorporate longitudinal approaches to examine changes in international perceptions over time, particularly regarding global energy transitions, sustainable development partnerships, and evolving ASEAN dynamics. Expanding the analytical framework to include policy documents, international media discourse, and spatial data analysis would also strengthen the understanding of how symbolic architecture operates as a long-term strategic asset in non-traditional geopolitics</w:t>
      </w:r>
      <w:r w:rsidR="008D7EDA" w:rsidRPr="008D7EDA">
        <w:t>.</w:t>
      </w:r>
    </w:p>
    <w:p w14:paraId="5B4BF63E" w14:textId="77777777" w:rsidR="00537B9A" w:rsidRDefault="00537B9A" w:rsidP="00537B9A">
      <w:pPr>
        <w:pStyle w:val="Heading5"/>
        <w:rPr>
          <w:rFonts w:eastAsia="MS Mincho"/>
        </w:rPr>
      </w:pPr>
      <w:r>
        <w:rPr>
          <w:rFonts w:eastAsia="MS Mincho"/>
        </w:rPr>
        <w:t>References</w:t>
      </w:r>
    </w:p>
    <w:p w14:paraId="3B6CCD48" w14:textId="77777777" w:rsidR="00B04EED" w:rsidRPr="00B04EED" w:rsidRDefault="00B04EED" w:rsidP="00B04EED">
      <w:pPr>
        <w:pStyle w:val="Referensi"/>
        <w:rPr>
          <w:lang w:val="en-ID"/>
        </w:rPr>
      </w:pPr>
      <w:r w:rsidRPr="00B04EED">
        <w:rPr>
          <w:lang w:val="en-ID"/>
        </w:rPr>
        <w:t xml:space="preserve">Bakar, W. N. B. W., Awang, J., Omar, M., &amp; Jusoh, N. A. M. (2025). The Rub–El–Hizb patterns of Petronas Twin Towers as an inspiration on batik design: An ethnomathematics study. </w:t>
      </w:r>
      <w:r w:rsidRPr="00B04EED">
        <w:rPr>
          <w:i/>
          <w:iCs/>
          <w:lang w:val="en-ID"/>
        </w:rPr>
        <w:t>Journal of Islamic, Social, Economics and Development, 10</w:t>
      </w:r>
      <w:r w:rsidRPr="00B04EED">
        <w:rPr>
          <w:lang w:val="en-ID"/>
        </w:rPr>
        <w:t>(71), 569–578. https://www.academicinspired.com/jised</w:t>
      </w:r>
    </w:p>
    <w:p w14:paraId="580C0757" w14:textId="77777777" w:rsidR="00B04EED" w:rsidRPr="00B04EED" w:rsidRDefault="00B04EED" w:rsidP="00B04EED">
      <w:pPr>
        <w:pStyle w:val="Referensi"/>
        <w:rPr>
          <w:lang w:val="en-ID"/>
        </w:rPr>
      </w:pPr>
      <w:r w:rsidRPr="00B04EED">
        <w:rPr>
          <w:lang w:val="en-ID"/>
        </w:rPr>
        <w:t xml:space="preserve">Caballero-Anthony, M., &amp; Emmers, R. (2022). Keeping the peace in Southeast Asia: ASEAN and the quest for positive peace. </w:t>
      </w:r>
      <w:r w:rsidRPr="00B04EED">
        <w:rPr>
          <w:i/>
          <w:iCs/>
          <w:lang w:val="en-ID"/>
        </w:rPr>
        <w:t>The Pacific Review, 35</w:t>
      </w:r>
      <w:r w:rsidRPr="00B04EED">
        <w:rPr>
          <w:lang w:val="en-ID"/>
        </w:rPr>
        <w:t>(6), 1079–1104. https://doi.org/10.1080/09512748.2022.2075440</w:t>
      </w:r>
    </w:p>
    <w:p w14:paraId="608279AF" w14:textId="77777777" w:rsidR="00B04EED" w:rsidRPr="00B04EED" w:rsidRDefault="00B04EED" w:rsidP="00B04EED">
      <w:pPr>
        <w:pStyle w:val="Referensi"/>
        <w:rPr>
          <w:lang w:val="en-ID"/>
        </w:rPr>
      </w:pPr>
      <w:r w:rsidRPr="00B04EED">
        <w:rPr>
          <w:lang w:val="en-ID"/>
        </w:rPr>
        <w:lastRenderedPageBreak/>
        <w:t xml:space="preserve">Csurgai, G. (2022). The main components of geopolitical analysis. In </w:t>
      </w:r>
      <w:r w:rsidRPr="00B04EED">
        <w:rPr>
          <w:i/>
          <w:iCs/>
          <w:lang w:val="en-ID"/>
        </w:rPr>
        <w:t>Geopolitics and international relations</w:t>
      </w:r>
      <w:r w:rsidRPr="00B04EED">
        <w:rPr>
          <w:lang w:val="en-ID"/>
        </w:rPr>
        <w:t xml:space="preserve"> (pp. 13–61). Brill. https://doi.org/</w:t>
      </w:r>
      <w:r w:rsidRPr="00B04EED">
        <w:rPr>
          <w:lang w:val="en-ID"/>
        </w:rPr>
        <w:softHyphen/>
        <w:t>10.1163/</w:t>
      </w:r>
      <w:r w:rsidRPr="00B04EED">
        <w:rPr>
          <w:lang w:val="en-ID"/>
        </w:rPr>
        <w:softHyphen/>
        <w:t>978</w:t>
      </w:r>
      <w:r w:rsidRPr="00B04EED">
        <w:rPr>
          <w:lang w:val="en-ID"/>
        </w:rPr>
        <w:softHyphen/>
        <w:t>900</w:t>
      </w:r>
      <w:r w:rsidRPr="00B04EED">
        <w:rPr>
          <w:lang w:val="en-ID"/>
        </w:rPr>
        <w:softHyphen/>
        <w:t>44</w:t>
      </w:r>
      <w:r w:rsidRPr="00B04EED">
        <w:rPr>
          <w:lang w:val="en-ID"/>
        </w:rPr>
        <w:softHyphen/>
        <w:t>32086_003</w:t>
      </w:r>
    </w:p>
    <w:p w14:paraId="088309B1" w14:textId="77777777" w:rsidR="00B04EED" w:rsidRPr="00B04EED" w:rsidRDefault="00B04EED" w:rsidP="00B04EED">
      <w:pPr>
        <w:pStyle w:val="Referensi"/>
        <w:rPr>
          <w:lang w:val="en-ID"/>
        </w:rPr>
      </w:pPr>
      <w:r w:rsidRPr="00B04EED">
        <w:rPr>
          <w:lang w:val="en-ID"/>
        </w:rPr>
        <w:t xml:space="preserve">Dao, N. (2022). Environmental justice and the politics of coal-fired thermal power in Vietnam’s Mekong Delta. </w:t>
      </w:r>
      <w:r w:rsidRPr="00B04EED">
        <w:rPr>
          <w:i/>
          <w:iCs/>
          <w:lang w:val="en-ID"/>
        </w:rPr>
        <w:t>Asia Pacific Viewpoint, 63</w:t>
      </w:r>
      <w:r w:rsidRPr="00B04EED">
        <w:rPr>
          <w:lang w:val="en-ID"/>
        </w:rPr>
        <w:t>(2), 262–277. https://</w:t>
      </w:r>
      <w:r w:rsidRPr="00B04EED">
        <w:rPr>
          <w:lang w:val="en-ID"/>
        </w:rPr>
        <w:softHyphen/>
        <w:t>doi.org/10.1111/apv.12345</w:t>
      </w:r>
    </w:p>
    <w:p w14:paraId="261779FC" w14:textId="77777777" w:rsidR="00B04EED" w:rsidRPr="00B04EED" w:rsidRDefault="00B04EED" w:rsidP="00B04EED">
      <w:pPr>
        <w:pStyle w:val="Referensi"/>
        <w:rPr>
          <w:lang w:val="en-ID"/>
        </w:rPr>
      </w:pPr>
      <w:r w:rsidRPr="00B04EED">
        <w:rPr>
          <w:lang w:val="en-ID"/>
        </w:rPr>
        <w:t xml:space="preserve">Fard, R. (2021). Towards a new concept of constructivist geopolitics: Bridging classical and critical geopolitics. </w:t>
      </w:r>
      <w:r w:rsidRPr="00B04EED">
        <w:rPr>
          <w:i/>
          <w:iCs/>
          <w:lang w:val="en-ID"/>
        </w:rPr>
        <w:t>Central European Journal of International &amp; Security Studies, 15</w:t>
      </w:r>
      <w:r w:rsidRPr="00B04EED">
        <w:rPr>
          <w:lang w:val="en-ID"/>
        </w:rPr>
        <w:t>(1), 26–45. https://doi.org/</w:t>
      </w:r>
      <w:r w:rsidRPr="00B04EED">
        <w:rPr>
          <w:lang w:val="en-ID"/>
        </w:rPr>
        <w:softHyphen/>
        <w:t>10.51870/</w:t>
      </w:r>
      <w:r w:rsidRPr="00B04EED">
        <w:rPr>
          <w:lang w:val="en-ID"/>
        </w:rPr>
        <w:softHyphen/>
        <w:t>CEJISS.</w:t>
      </w:r>
      <w:r w:rsidRPr="00B04EED">
        <w:rPr>
          <w:lang w:val="en-ID"/>
        </w:rPr>
        <w:softHyphen/>
        <w:t>A150102</w:t>
      </w:r>
    </w:p>
    <w:p w14:paraId="6DAF723D" w14:textId="77777777" w:rsidR="00B04EED" w:rsidRPr="00B04EED" w:rsidRDefault="00B04EED" w:rsidP="00B04EED">
      <w:pPr>
        <w:pStyle w:val="Referensi"/>
        <w:rPr>
          <w:lang w:val="en-ID"/>
        </w:rPr>
      </w:pPr>
      <w:r w:rsidRPr="00B04EED">
        <w:rPr>
          <w:lang w:val="fi-FI"/>
        </w:rPr>
        <w:t xml:space="preserve">Guan, K. C., &amp; Koh, C. (2022). </w:t>
      </w:r>
      <w:r w:rsidRPr="00B04EED">
        <w:rPr>
          <w:lang w:val="en-ID"/>
        </w:rPr>
        <w:t xml:space="preserve">Maritime security in Southeast Asia. In C. Bueger &amp; T. Edmunds (Eds.), </w:t>
      </w:r>
      <w:r w:rsidRPr="00B04EED">
        <w:rPr>
          <w:i/>
          <w:iCs/>
          <w:lang w:val="en-ID"/>
        </w:rPr>
        <w:t>Routledge handbook of maritime security</w:t>
      </w:r>
      <w:r w:rsidRPr="00B04EED">
        <w:rPr>
          <w:lang w:val="en-ID"/>
        </w:rPr>
        <w:t xml:space="preserve"> (pp. 346–355). Routledge.</w:t>
      </w:r>
    </w:p>
    <w:p w14:paraId="7EBE891D" w14:textId="7F758819" w:rsidR="00B04EED" w:rsidRPr="00B04EED" w:rsidRDefault="00B04EED" w:rsidP="00B04EED">
      <w:pPr>
        <w:pStyle w:val="Referensi"/>
        <w:rPr>
          <w:lang w:val="en-ID"/>
        </w:rPr>
      </w:pPr>
      <w:r w:rsidRPr="00B04EED">
        <w:rPr>
          <w:lang w:val="en-ID"/>
        </w:rPr>
        <w:t xml:space="preserve">Halip, J. A. (2022). Multifunctional bookshelf inspired by Petronas Twin Towers. </w:t>
      </w:r>
      <w:r w:rsidRPr="00B04EED">
        <w:rPr>
          <w:i/>
          <w:iCs/>
          <w:lang w:val="en-ID"/>
        </w:rPr>
        <w:t>Research in Management of Technology and Business, 3</w:t>
      </w:r>
      <w:r w:rsidRPr="00B04EED">
        <w:rPr>
          <w:lang w:val="en-ID"/>
        </w:rPr>
        <w:t>(1), 354–365. https://</w:t>
      </w:r>
      <w:r w:rsidR="00AF2F76">
        <w:rPr>
          <w:lang w:val="en-ID"/>
        </w:rPr>
        <w:softHyphen/>
      </w:r>
      <w:r w:rsidRPr="00B04EED">
        <w:rPr>
          <w:lang w:val="en-ID"/>
        </w:rPr>
        <w:t>publisher.uthm.edu.my/periodicals/index.php/rmtb/article/view/7236</w:t>
      </w:r>
    </w:p>
    <w:p w14:paraId="6E9F2095" w14:textId="77777777" w:rsidR="00B04EED" w:rsidRPr="00B04EED" w:rsidRDefault="00B04EED" w:rsidP="00B04EED">
      <w:pPr>
        <w:pStyle w:val="Referensi"/>
        <w:rPr>
          <w:lang w:val="en-ID"/>
        </w:rPr>
      </w:pPr>
      <w:r w:rsidRPr="00B04EED">
        <w:rPr>
          <w:lang w:val="en-ID"/>
        </w:rPr>
        <w:t xml:space="preserve">Hamzaçebi, S., &amp; Topal, C. (2025). The geopolitical role of Central Asia in China’s energy supply security axis. </w:t>
      </w:r>
      <w:r w:rsidRPr="00B04EED">
        <w:rPr>
          <w:i/>
          <w:iCs/>
          <w:lang w:val="en-ID"/>
        </w:rPr>
        <w:t>Uluslararası İlişkiler Çalışmaları Dergisi, 5</w:t>
      </w:r>
      <w:r w:rsidRPr="00B04EED">
        <w:rPr>
          <w:lang w:val="en-ID"/>
        </w:rPr>
        <w:t>(2), 95–109. https://doi.org/10.62425/jirs.1814433</w:t>
      </w:r>
    </w:p>
    <w:p w14:paraId="69B1E87E" w14:textId="77777777" w:rsidR="00B04EED" w:rsidRPr="00B04EED" w:rsidRDefault="00B04EED" w:rsidP="00B04EED">
      <w:pPr>
        <w:pStyle w:val="Referensi"/>
        <w:rPr>
          <w:lang w:val="en-ID"/>
        </w:rPr>
      </w:pPr>
      <w:r w:rsidRPr="00B04EED">
        <w:rPr>
          <w:lang w:val="en-ID"/>
        </w:rPr>
        <w:t xml:space="preserve">Hewison, K. (2022). Political space in Southeast Asia: ‘Asian-style’ and other democracies. In </w:t>
      </w:r>
      <w:r w:rsidRPr="00B04EED">
        <w:rPr>
          <w:i/>
          <w:iCs/>
          <w:lang w:val="en-ID"/>
        </w:rPr>
        <w:t>The resilience of democracy</w:t>
      </w:r>
      <w:r w:rsidRPr="00B04EED">
        <w:rPr>
          <w:lang w:val="en-ID"/>
        </w:rPr>
        <w:t xml:space="preserve"> (pp. 224–245). Routledge.</w:t>
      </w:r>
    </w:p>
    <w:p w14:paraId="6931070F" w14:textId="5AF331D9" w:rsidR="00B04EED" w:rsidRPr="00B04EED" w:rsidRDefault="00B04EED" w:rsidP="00B04EED">
      <w:pPr>
        <w:pStyle w:val="Referensi"/>
        <w:rPr>
          <w:lang w:val="en-ID"/>
        </w:rPr>
      </w:pPr>
      <w:r w:rsidRPr="00B04EED">
        <w:rPr>
          <w:lang w:val="en-ID"/>
        </w:rPr>
        <w:t xml:space="preserve">Hooks, D., Davis, Z., Agrawal, V., &amp; Li, Z. (2022). Exploring factors influencing technology adoption rate at the macro level: A predictive model. </w:t>
      </w:r>
      <w:r w:rsidRPr="00B04EED">
        <w:rPr>
          <w:i/>
          <w:iCs/>
          <w:lang w:val="en-ID"/>
        </w:rPr>
        <w:t>Technology in Society, 68</w:t>
      </w:r>
      <w:r w:rsidRPr="00B04EED">
        <w:rPr>
          <w:lang w:val="en-ID"/>
        </w:rPr>
        <w:t>, 101826. https://doi.org/</w:t>
      </w:r>
      <w:r w:rsidRPr="00B04EED">
        <w:rPr>
          <w:lang w:val="en-ID"/>
        </w:rPr>
        <w:softHyphen/>
        <w:t>10.1016/</w:t>
      </w:r>
      <w:r w:rsidRPr="00B04EED">
        <w:rPr>
          <w:lang w:val="en-ID"/>
        </w:rPr>
        <w:softHyphen/>
        <w:t>j.techsoc.</w:t>
      </w:r>
      <w:r w:rsidR="00AF2F76">
        <w:rPr>
          <w:lang w:val="en-ID"/>
        </w:rPr>
        <w:softHyphen/>
      </w:r>
      <w:r w:rsidRPr="00B04EED">
        <w:rPr>
          <w:lang w:val="en-ID"/>
        </w:rPr>
        <w:softHyphen/>
        <w:t>2021.101826</w:t>
      </w:r>
    </w:p>
    <w:p w14:paraId="18E8A9C3" w14:textId="77777777" w:rsidR="00B04EED" w:rsidRPr="00B04EED" w:rsidRDefault="00B04EED" w:rsidP="00B04EED">
      <w:pPr>
        <w:pStyle w:val="Referensi"/>
        <w:rPr>
          <w:lang w:val="en-ID"/>
        </w:rPr>
      </w:pPr>
      <w:r w:rsidRPr="00B04EED">
        <w:rPr>
          <w:lang w:val="en-ID"/>
        </w:rPr>
        <w:t xml:space="preserve">Hussin, H. (2018). Branding Malaysia and repositioning cultural heritage in tourism development. </w:t>
      </w:r>
      <w:r w:rsidRPr="00B04EED">
        <w:rPr>
          <w:i/>
          <w:iCs/>
          <w:lang w:val="en-ID"/>
        </w:rPr>
        <w:t>JATI-Journal of Southeast Asian Studies</w:t>
      </w:r>
      <w:r w:rsidRPr="00B04EED">
        <w:rPr>
          <w:lang w:val="en-ID"/>
        </w:rPr>
        <w:t>, 75–92. https://doi.org/10.22452/jati.sp2018no1.6</w:t>
      </w:r>
    </w:p>
    <w:p w14:paraId="30C5531D" w14:textId="77777777" w:rsidR="00B04EED" w:rsidRPr="00B04EED" w:rsidRDefault="00B04EED" w:rsidP="00B04EED">
      <w:pPr>
        <w:pStyle w:val="Referensi"/>
        <w:rPr>
          <w:lang w:val="en-ID"/>
        </w:rPr>
      </w:pPr>
      <w:r w:rsidRPr="00B04EED">
        <w:rPr>
          <w:lang w:val="en-ID"/>
        </w:rPr>
        <w:t xml:space="preserve">Karim, A., &amp; Said, F. (2024). Discussion on Malaysia’s globalization journey from a resource-based economy to a global player. </w:t>
      </w:r>
      <w:r w:rsidRPr="00B04EED">
        <w:rPr>
          <w:i/>
          <w:iCs/>
          <w:lang w:val="en-ID"/>
        </w:rPr>
        <w:t>Journal of Business and Economic Options, 7</w:t>
      </w:r>
      <w:r w:rsidRPr="00B04EED">
        <w:rPr>
          <w:lang w:val="en-ID"/>
        </w:rPr>
        <w:t>(1), 29–38. https://resdojournals.com/</w:t>
      </w:r>
      <w:r w:rsidRPr="00B04EED">
        <w:rPr>
          <w:lang w:val="en-ID"/>
        </w:rPr>
        <w:softHyphen/>
        <w:t>index.php/jbeo/article/view/252</w:t>
      </w:r>
    </w:p>
    <w:p w14:paraId="1D125EFF" w14:textId="3BFE9CC6" w:rsidR="00B04EED" w:rsidRPr="00B04EED" w:rsidRDefault="00B04EED" w:rsidP="00B04EED">
      <w:pPr>
        <w:pStyle w:val="Referensi"/>
        <w:rPr>
          <w:lang w:val="en-ID"/>
        </w:rPr>
      </w:pPr>
      <w:r w:rsidRPr="00B04EED">
        <w:rPr>
          <w:lang w:val="en-ID"/>
        </w:rPr>
        <w:t xml:space="preserve">Kozlowski, M., Azlan, A., Bakar, N. A. A., &amp; Abdul Aziz, F. (2022). Socio-economic and political dimensions and their impact on the urban form of the Kuala Lumpur metropolitan region. In </w:t>
      </w:r>
      <w:r w:rsidRPr="00B04EED">
        <w:rPr>
          <w:i/>
          <w:iCs/>
          <w:lang w:val="en-ID"/>
        </w:rPr>
        <w:t>Urban and transit planning: Towards liveable communities: Urban places and design spaces</w:t>
      </w:r>
      <w:r w:rsidRPr="00B04EED">
        <w:rPr>
          <w:lang w:val="en-ID"/>
        </w:rPr>
        <w:t xml:space="preserve"> (pp. 225–235). Springer. https://doi.</w:t>
      </w:r>
      <w:r w:rsidR="00AF2F76">
        <w:rPr>
          <w:lang w:val="en-ID"/>
        </w:rPr>
        <w:softHyphen/>
      </w:r>
      <w:r w:rsidRPr="00B04EED">
        <w:rPr>
          <w:lang w:val="en-ID"/>
        </w:rPr>
        <w:t>org/</w:t>
      </w:r>
      <w:r w:rsidR="00AF2F76">
        <w:rPr>
          <w:lang w:val="en-ID"/>
        </w:rPr>
        <w:softHyphen/>
      </w:r>
      <w:r w:rsidRPr="00B04EED">
        <w:rPr>
          <w:lang w:val="en-ID"/>
        </w:rPr>
        <w:t>10.1007/978-3-030-97046-8_18</w:t>
      </w:r>
    </w:p>
    <w:p w14:paraId="64D31FD8" w14:textId="77777777" w:rsidR="00B04EED" w:rsidRPr="00B04EED" w:rsidRDefault="00B04EED" w:rsidP="00B04EED">
      <w:pPr>
        <w:pStyle w:val="Referensi"/>
        <w:rPr>
          <w:lang w:val="en-ID"/>
        </w:rPr>
      </w:pPr>
      <w:r w:rsidRPr="00B04EED">
        <w:rPr>
          <w:lang w:val="en-ID"/>
        </w:rPr>
        <w:t xml:space="preserve">Kuik, C.-C., &amp; Benny, G. (2024). Linking local insights to global IR: Locating Malaysian contours and contributions. </w:t>
      </w:r>
      <w:r w:rsidRPr="00B04EED">
        <w:rPr>
          <w:i/>
          <w:iCs/>
          <w:lang w:val="en-ID"/>
        </w:rPr>
        <w:t>Journal of Current Southeast Asian Affairs, 43</w:t>
      </w:r>
      <w:r w:rsidRPr="00B04EED">
        <w:rPr>
          <w:lang w:val="en-ID"/>
        </w:rPr>
        <w:t>(3), 357–386. https://doi.org/10.</w:t>
      </w:r>
      <w:r w:rsidRPr="00B04EED">
        <w:rPr>
          <w:lang w:val="en-ID"/>
        </w:rPr>
        <w:softHyphen/>
        <w:t>1177/</w:t>
      </w:r>
      <w:r w:rsidRPr="00B04EED">
        <w:rPr>
          <w:lang w:val="en-ID"/>
        </w:rPr>
        <w:softHyphen/>
        <w:t>18681034241246014</w:t>
      </w:r>
    </w:p>
    <w:p w14:paraId="12799F0D" w14:textId="77777777" w:rsidR="00B04EED" w:rsidRPr="00B04EED" w:rsidRDefault="00B04EED" w:rsidP="00B04EED">
      <w:pPr>
        <w:pStyle w:val="Referensi"/>
        <w:rPr>
          <w:lang w:val="en-ID"/>
        </w:rPr>
      </w:pPr>
      <w:r w:rsidRPr="00B04EED">
        <w:rPr>
          <w:lang w:val="en-ID"/>
        </w:rPr>
        <w:t xml:space="preserve">Maclaren, A. S. (2021). Geopolitical imaginaries of the space shuttle mission patches. </w:t>
      </w:r>
      <w:r w:rsidRPr="00B04EED">
        <w:rPr>
          <w:i/>
          <w:iCs/>
          <w:lang w:val="en-ID"/>
        </w:rPr>
        <w:t>Geopolitics, 26</w:t>
      </w:r>
      <w:r w:rsidRPr="00B04EED">
        <w:rPr>
          <w:lang w:val="en-ID"/>
        </w:rPr>
        <w:t>(3), 747–769. https://doi.org/10.1080/14650045.2019.1617277</w:t>
      </w:r>
    </w:p>
    <w:p w14:paraId="5ED779AE" w14:textId="77777777" w:rsidR="00B04EED" w:rsidRPr="00B04EED" w:rsidRDefault="00B04EED" w:rsidP="00B04EED">
      <w:pPr>
        <w:pStyle w:val="Referensi"/>
        <w:rPr>
          <w:lang w:val="en-ID"/>
        </w:rPr>
      </w:pPr>
      <w:r w:rsidRPr="00B04EED">
        <w:rPr>
          <w:lang w:val="en-ID"/>
        </w:rPr>
        <w:t xml:space="preserve">Mamadouh, V. (2020). Geopolitics of a thriving international journal: From the perspective of the editor as a midwife. </w:t>
      </w:r>
      <w:r w:rsidRPr="00B04EED">
        <w:rPr>
          <w:i/>
          <w:iCs/>
          <w:lang w:val="en-ID"/>
        </w:rPr>
        <w:t>Geopolitics, 25</w:t>
      </w:r>
      <w:r w:rsidRPr="00B04EED">
        <w:rPr>
          <w:lang w:val="en-ID"/>
        </w:rPr>
        <w:t>, 1–12. https://doi.org/</w:t>
      </w:r>
      <w:r w:rsidRPr="00B04EED">
        <w:rPr>
          <w:lang w:val="en-ID"/>
        </w:rPr>
        <w:softHyphen/>
        <w:t>10.1080/14650045.2020.1789802</w:t>
      </w:r>
    </w:p>
    <w:p w14:paraId="0B63FEC0" w14:textId="77777777" w:rsidR="00B04EED" w:rsidRPr="00B04EED" w:rsidRDefault="00B04EED" w:rsidP="00B04EED">
      <w:pPr>
        <w:pStyle w:val="Referensi"/>
        <w:rPr>
          <w:lang w:val="en-ID"/>
        </w:rPr>
      </w:pPr>
      <w:r w:rsidRPr="00B04EED">
        <w:rPr>
          <w:lang w:val="en-ID"/>
        </w:rPr>
        <w:t xml:space="preserve">Mense-Petermann, U. (2021). Emerging economy MNCs and their geopolitical embeddedness. In </w:t>
      </w:r>
      <w:r w:rsidRPr="00B04EED">
        <w:rPr>
          <w:i/>
          <w:iCs/>
          <w:lang w:val="en-ID"/>
        </w:rPr>
        <w:t>A research agenda for international business and management</w:t>
      </w:r>
      <w:r w:rsidRPr="00B04EED">
        <w:rPr>
          <w:lang w:val="en-ID"/>
        </w:rPr>
        <w:t xml:space="preserve"> (pp. 153–171). Edward Elgar Publishing.</w:t>
      </w:r>
    </w:p>
    <w:p w14:paraId="1630CCDE" w14:textId="77777777" w:rsidR="00B04EED" w:rsidRPr="00B04EED" w:rsidRDefault="00B04EED" w:rsidP="00B04EED">
      <w:pPr>
        <w:pStyle w:val="Referensi"/>
        <w:rPr>
          <w:lang w:val="en-ID"/>
        </w:rPr>
      </w:pPr>
      <w:r w:rsidRPr="00B04EED">
        <w:rPr>
          <w:lang w:val="en-ID"/>
        </w:rPr>
        <w:t xml:space="preserve">Mohamad, B., Adetunji, R. R., Alarifi, G., Ismail, A. R., &amp; Akanmu, M. D. (2022). A visual identity-based approach of Southeast Asian city branding: A netnography analysis. </w:t>
      </w:r>
      <w:r w:rsidRPr="00B04EED">
        <w:rPr>
          <w:i/>
          <w:iCs/>
          <w:lang w:val="en-ID"/>
        </w:rPr>
        <w:t>Journal of ASEAN Studies, 10</w:t>
      </w:r>
      <w:r w:rsidRPr="00B04EED">
        <w:rPr>
          <w:lang w:val="en-ID"/>
        </w:rPr>
        <w:t>(1), 21–42. https://doi.org/10.21512/jas.v10i1.7330</w:t>
      </w:r>
    </w:p>
    <w:p w14:paraId="69300E34" w14:textId="77777777" w:rsidR="00B04EED" w:rsidRPr="00B04EED" w:rsidRDefault="00B04EED" w:rsidP="00B04EED">
      <w:pPr>
        <w:pStyle w:val="Referensi"/>
        <w:rPr>
          <w:lang w:val="fi-FI"/>
        </w:rPr>
      </w:pPr>
      <w:r w:rsidRPr="00B04EED">
        <w:rPr>
          <w:lang w:val="en-ID"/>
        </w:rPr>
        <w:t xml:space="preserve">Nga, C. P., Ahmada, N., Wongb, M. M. R., Lawc, T. H., Baharid, A. N. Z., Rofid, M. F. M., &amp; Abasb, F. (2025). Analysis and simulation of evacuation routes during disaster situations: A case study in Kuala Lumpur City (KLC). </w:t>
      </w:r>
      <w:r w:rsidRPr="00B04EED">
        <w:rPr>
          <w:i/>
          <w:iCs/>
          <w:lang w:val="fi-FI"/>
        </w:rPr>
        <w:t>Jurnal Kejuruteraan, 37</w:t>
      </w:r>
      <w:r w:rsidRPr="00B04EED">
        <w:rPr>
          <w:lang w:val="fi-FI"/>
        </w:rPr>
        <w:t>(1), 409–419. https://doi.org/10.17576/jkukm-2025-37</w:t>
      </w:r>
      <w:r w:rsidRPr="00B04EED">
        <w:rPr>
          <w:lang w:val="fi-FI"/>
        </w:rPr>
        <w:softHyphen/>
        <w:t>(1)-</w:t>
      </w:r>
      <w:r w:rsidRPr="00B04EED">
        <w:rPr>
          <w:lang w:val="fi-FI"/>
        </w:rPr>
        <w:softHyphen/>
        <w:t>28</w:t>
      </w:r>
    </w:p>
    <w:p w14:paraId="739DCB83" w14:textId="3E41C965" w:rsidR="00B04EED" w:rsidRPr="00B04EED" w:rsidRDefault="00B04EED" w:rsidP="00B04EED">
      <w:pPr>
        <w:pStyle w:val="Referensi"/>
        <w:rPr>
          <w:lang w:val="en-ID"/>
        </w:rPr>
      </w:pPr>
      <w:r w:rsidRPr="00B04EED">
        <w:rPr>
          <w:lang w:val="fi-FI"/>
        </w:rPr>
        <w:t xml:space="preserve">Prasetya, D. M., Ladiqi, S., &amp; Salleh, M. A. (2025). </w:t>
      </w:r>
      <w:r w:rsidRPr="00B04EED">
        <w:rPr>
          <w:lang w:val="en-ID"/>
        </w:rPr>
        <w:t>Back to the past: The roots of Indonesian middle</w:t>
      </w:r>
      <w:r w:rsidR="00AF2F76">
        <w:rPr>
          <w:lang w:val="en-ID"/>
        </w:rPr>
        <w:softHyphen/>
      </w:r>
      <w:r w:rsidRPr="00B04EED">
        <w:rPr>
          <w:lang w:val="en-ID"/>
        </w:rPr>
        <w:t>power</w:t>
      </w:r>
      <w:r w:rsidR="00AF2F76">
        <w:rPr>
          <w:lang w:val="en-ID"/>
        </w:rPr>
        <w:softHyphen/>
      </w:r>
      <w:r w:rsidRPr="00B04EED">
        <w:rPr>
          <w:lang w:val="en-ID"/>
        </w:rPr>
        <w:t xml:space="preserve">manship. </w:t>
      </w:r>
      <w:r w:rsidRPr="00B04EED">
        <w:rPr>
          <w:i/>
          <w:iCs/>
          <w:lang w:val="en-ID"/>
        </w:rPr>
        <w:t>Asian Journal of Comparative Politics, 10</w:t>
      </w:r>
      <w:r w:rsidRPr="00B04EED">
        <w:rPr>
          <w:lang w:val="en-ID"/>
        </w:rPr>
        <w:t>(2), 97–112. https://doi.org/10.</w:t>
      </w:r>
      <w:r w:rsidRPr="00B04EED">
        <w:rPr>
          <w:lang w:val="en-ID"/>
        </w:rPr>
        <w:softHyphen/>
        <w:t>1177/</w:t>
      </w:r>
      <w:r w:rsidRPr="00B04EED">
        <w:rPr>
          <w:lang w:val="en-ID"/>
        </w:rPr>
        <w:softHyphen/>
        <w:t>205</w:t>
      </w:r>
      <w:r w:rsidRPr="00B04EED">
        <w:rPr>
          <w:lang w:val="en-ID"/>
        </w:rPr>
        <w:softHyphen/>
        <w:t>7891124</w:t>
      </w:r>
      <w:r w:rsidR="00AF2F76">
        <w:rPr>
          <w:lang w:val="en-ID"/>
        </w:rPr>
        <w:softHyphen/>
      </w:r>
      <w:r w:rsidRPr="00B04EED">
        <w:rPr>
          <w:lang w:val="en-ID"/>
        </w:rPr>
        <w:t>1236518</w:t>
      </w:r>
    </w:p>
    <w:p w14:paraId="07954CA4" w14:textId="7CD80426" w:rsidR="00B04EED" w:rsidRPr="00B04EED" w:rsidRDefault="00B04EED" w:rsidP="00B04EED">
      <w:pPr>
        <w:pStyle w:val="Referensi"/>
        <w:rPr>
          <w:lang w:val="en-ID"/>
        </w:rPr>
      </w:pPr>
      <w:r w:rsidRPr="00B04EED">
        <w:rPr>
          <w:lang w:val="en-ID"/>
        </w:rPr>
        <w:t xml:space="preserve">Rahmat, M. H., &amp; Ismail, A. S. (2025). Understanding the Malaysian national architectural identity: Case studies analysis. </w:t>
      </w:r>
      <w:r w:rsidRPr="00B04EED">
        <w:rPr>
          <w:i/>
          <w:iCs/>
          <w:lang w:val="en-ID"/>
        </w:rPr>
        <w:t>Journal of Architecture, Planning and Construction Management, 15</w:t>
      </w:r>
      <w:r w:rsidRPr="00B04EED">
        <w:rPr>
          <w:lang w:val="en-ID"/>
        </w:rPr>
        <w:t>(1), 111–127. https://</w:t>
      </w:r>
      <w:r w:rsidR="00AF2F76">
        <w:rPr>
          <w:lang w:val="en-ID"/>
        </w:rPr>
        <w:softHyphen/>
      </w:r>
      <w:r w:rsidRPr="00B04EED">
        <w:rPr>
          <w:lang w:val="en-ID"/>
        </w:rPr>
        <w:t>doi.org/10.31436/japcm.v15i1.939</w:t>
      </w:r>
    </w:p>
    <w:p w14:paraId="05A9E036" w14:textId="77777777" w:rsidR="00B04EED" w:rsidRPr="00B04EED" w:rsidRDefault="00B04EED" w:rsidP="00B04EED">
      <w:pPr>
        <w:pStyle w:val="Referensi"/>
        <w:rPr>
          <w:lang w:val="en-ID"/>
        </w:rPr>
      </w:pPr>
      <w:r w:rsidRPr="00B04EED">
        <w:rPr>
          <w:lang w:val="en-ID"/>
        </w:rPr>
        <w:t xml:space="preserve">Sklair, L. (2025). Towards an understanding of architectural iconicity in a global perspective. In </w:t>
      </w:r>
      <w:r w:rsidRPr="00B04EED">
        <w:rPr>
          <w:i/>
          <w:iCs/>
          <w:lang w:val="en-ID"/>
        </w:rPr>
        <w:t>Aspects of urbanization in China</w:t>
      </w:r>
      <w:r w:rsidRPr="00B04EED">
        <w:rPr>
          <w:lang w:val="en-ID"/>
        </w:rPr>
        <w:t xml:space="preserve"> (pp. 27–45). Routledge.</w:t>
      </w:r>
    </w:p>
    <w:p w14:paraId="610B26AC" w14:textId="77777777" w:rsidR="00B04EED" w:rsidRPr="00B04EED" w:rsidRDefault="00B04EED" w:rsidP="00B04EED">
      <w:pPr>
        <w:pStyle w:val="Referensi"/>
        <w:rPr>
          <w:lang w:val="en-ID"/>
        </w:rPr>
      </w:pPr>
      <w:r w:rsidRPr="00B04EED">
        <w:rPr>
          <w:lang w:val="en-ID"/>
        </w:rPr>
        <w:t xml:space="preserve">Syailendra, E. (2024). Malaysia’s strategic approach: Unpacking the “action–reaction spiral” logic in the South China Sea. </w:t>
      </w:r>
      <w:r w:rsidRPr="00B04EED">
        <w:rPr>
          <w:i/>
          <w:iCs/>
          <w:lang w:val="en-ID"/>
        </w:rPr>
        <w:t>Asian Politics &amp; Policy, 16</w:t>
      </w:r>
      <w:r w:rsidRPr="00B04EED">
        <w:rPr>
          <w:lang w:val="en-ID"/>
        </w:rPr>
        <w:t>(3), 357–376. https://doi.org/10.1111/aspp.12751</w:t>
      </w:r>
    </w:p>
    <w:p w14:paraId="03D77106" w14:textId="77777777" w:rsidR="00B04EED" w:rsidRPr="00B04EED" w:rsidRDefault="00B04EED" w:rsidP="00B04EED">
      <w:pPr>
        <w:pStyle w:val="Referensi"/>
        <w:rPr>
          <w:lang w:val="fi-FI"/>
        </w:rPr>
      </w:pPr>
      <w:r w:rsidRPr="00B04EED">
        <w:rPr>
          <w:lang w:val="en-ID"/>
        </w:rPr>
        <w:t xml:space="preserve">Taufik, A. N. A., Johari, D., Azaman, M. S., Haris, F. A., Yahaya, M. P., Abdullah, N., Hatta, N. M., Baharudin, Z. A., &amp; Ismail, M. M. (2022). Lightning observation around tall structures in Kuala Lumpur, Malaysia. In </w:t>
      </w:r>
      <w:r w:rsidRPr="00B04EED">
        <w:rPr>
          <w:i/>
          <w:iCs/>
          <w:lang w:val="en-ID"/>
        </w:rPr>
        <w:t>2022 IEEE International Conference in Power Engineering Application (ICPEA)</w:t>
      </w:r>
      <w:r w:rsidRPr="00B04EED">
        <w:rPr>
          <w:lang w:val="en-ID"/>
        </w:rPr>
        <w:t xml:space="preserve"> (pp. 1–5). </w:t>
      </w:r>
      <w:r w:rsidRPr="00B04EED">
        <w:rPr>
          <w:lang w:val="fi-FI"/>
        </w:rPr>
        <w:t>IEEE. https://doi.org/10.1109/ICPEA53519.2022.9744646</w:t>
      </w:r>
    </w:p>
    <w:p w14:paraId="7B17B32A" w14:textId="77777777" w:rsidR="00B04EED" w:rsidRPr="00B04EED" w:rsidRDefault="00B04EED" w:rsidP="00B04EED">
      <w:pPr>
        <w:pStyle w:val="Referensi"/>
        <w:rPr>
          <w:lang w:val="en-ID"/>
        </w:rPr>
      </w:pPr>
      <w:r w:rsidRPr="00B04EED">
        <w:rPr>
          <w:lang w:val="fi-FI"/>
        </w:rPr>
        <w:t xml:space="preserve">Topalidis, G. T., Kartalis, N. N., Velentzas, J. R., &amp; Sidiropoulou, C. G. (2024). </w:t>
      </w:r>
      <w:r w:rsidRPr="00B04EED">
        <w:rPr>
          <w:lang w:val="en-ID"/>
        </w:rPr>
        <w:t xml:space="preserve">New developments in geopolitics: A reassessment of theories after 2023. </w:t>
      </w:r>
      <w:r w:rsidRPr="00B04EED">
        <w:rPr>
          <w:i/>
          <w:iCs/>
          <w:lang w:val="en-ID"/>
        </w:rPr>
        <w:t>Social Sciences, 13</w:t>
      </w:r>
      <w:r w:rsidRPr="00B04EED">
        <w:rPr>
          <w:lang w:val="en-ID"/>
        </w:rPr>
        <w:t>(2), 109. https://doi.org/</w:t>
      </w:r>
      <w:r w:rsidRPr="00B04EED">
        <w:rPr>
          <w:lang w:val="en-ID"/>
        </w:rPr>
        <w:softHyphen/>
        <w:t>10.</w:t>
      </w:r>
      <w:r w:rsidRPr="00B04EED">
        <w:rPr>
          <w:lang w:val="en-ID"/>
        </w:rPr>
        <w:softHyphen/>
        <w:t>3390/</w:t>
      </w:r>
      <w:r w:rsidRPr="00B04EED">
        <w:rPr>
          <w:lang w:val="en-ID"/>
        </w:rPr>
        <w:softHyphen/>
        <w:t>socsci13020109</w:t>
      </w:r>
    </w:p>
    <w:p w14:paraId="5741571B" w14:textId="06242B8E" w:rsidR="00B04EED" w:rsidRPr="00B04EED" w:rsidRDefault="00B04EED" w:rsidP="00B04EED">
      <w:pPr>
        <w:pStyle w:val="Referensi"/>
        <w:rPr>
          <w:lang w:val="en-ID"/>
        </w:rPr>
      </w:pPr>
      <w:r w:rsidRPr="00B04EED">
        <w:rPr>
          <w:lang w:val="en-ID"/>
        </w:rPr>
        <w:t xml:space="preserve">Towers, T. (2024). Kriteria penerapan elemen identiti kebangsaan pada bangunan pencakar langit berdasarkan kajian kes Menara Berkembar PETRONAS (KLCC). </w:t>
      </w:r>
      <w:r w:rsidRPr="00B04EED">
        <w:rPr>
          <w:i/>
          <w:iCs/>
          <w:lang w:val="en-ID"/>
        </w:rPr>
        <w:t>Jurnal Kejuruteraan, 36</w:t>
      </w:r>
      <w:r w:rsidRPr="00B04EED">
        <w:rPr>
          <w:lang w:val="en-ID"/>
        </w:rPr>
        <w:t>(6), 2519–2533. https://doi.org/10.17576/jkukm-2024-36(6)-</w:t>
      </w:r>
      <w:r w:rsidR="00AF2F76">
        <w:rPr>
          <w:lang w:val="en-ID"/>
        </w:rPr>
        <w:softHyphen/>
      </w:r>
      <w:r w:rsidRPr="00B04EED">
        <w:rPr>
          <w:lang w:val="en-ID"/>
        </w:rPr>
        <w:t>22</w:t>
      </w:r>
    </w:p>
    <w:p w14:paraId="00B7829A" w14:textId="77777777" w:rsidR="00B04EED" w:rsidRPr="00B04EED" w:rsidRDefault="00B04EED" w:rsidP="00B04EED">
      <w:pPr>
        <w:pStyle w:val="Referensi"/>
        <w:rPr>
          <w:lang w:val="en-ID"/>
        </w:rPr>
      </w:pPr>
      <w:r w:rsidRPr="00B04EED">
        <w:rPr>
          <w:lang w:val="en-ID"/>
        </w:rPr>
        <w:t xml:space="preserve">Uluğ, E. (2022). An investigation into the connotations of iconic buildings by using a semiotic model of architecture. </w:t>
      </w:r>
      <w:r w:rsidRPr="00B04EED">
        <w:rPr>
          <w:i/>
          <w:iCs/>
          <w:lang w:val="en-ID"/>
        </w:rPr>
        <w:t>Social Semiotics, 32</w:t>
      </w:r>
      <w:r w:rsidRPr="00B04EED">
        <w:rPr>
          <w:lang w:val="en-ID"/>
        </w:rPr>
        <w:t>(2), 279–300. https://doi.org/10.1080/10350330.2020.1756590</w:t>
      </w:r>
    </w:p>
    <w:p w14:paraId="1B19EE9E" w14:textId="77777777" w:rsidR="00B04EED" w:rsidRPr="00B04EED" w:rsidRDefault="00B04EED" w:rsidP="00B04EED">
      <w:pPr>
        <w:pStyle w:val="Referensi"/>
        <w:rPr>
          <w:lang w:val="en-ID"/>
        </w:rPr>
      </w:pPr>
      <w:r w:rsidRPr="00B04EED">
        <w:rPr>
          <w:lang w:val="en-ID"/>
        </w:rPr>
        <w:t xml:space="preserve">Vysotskyi, O. Y., Deviatko, N. V., &amp; Vysotska, O. Y. (2022). Theory of technologies of geographical determinism in international relations. </w:t>
      </w:r>
      <w:r w:rsidRPr="00B04EED">
        <w:rPr>
          <w:i/>
          <w:iCs/>
          <w:lang w:val="en-ID"/>
        </w:rPr>
        <w:t>Journal of Geology, Geography and Geoecology, 31</w:t>
      </w:r>
      <w:r w:rsidRPr="00B04EED">
        <w:rPr>
          <w:lang w:val="en-ID"/>
        </w:rPr>
        <w:t>(3), 554–565. https://doi.org/10.15421/112252</w:t>
      </w:r>
    </w:p>
    <w:p w14:paraId="1E215A3A" w14:textId="77777777" w:rsidR="00AF2F76" w:rsidRDefault="00AF2F76" w:rsidP="00B04EED">
      <w:pPr>
        <w:pStyle w:val="Referensi"/>
        <w:rPr>
          <w:lang w:val="en-ID"/>
        </w:rPr>
      </w:pPr>
    </w:p>
    <w:p w14:paraId="6305F0A0" w14:textId="34A7A2E7" w:rsidR="00E42BA0" w:rsidRDefault="00B04EED" w:rsidP="00B04EED">
      <w:pPr>
        <w:pStyle w:val="Referensi"/>
      </w:pPr>
      <w:r w:rsidRPr="00B04EED">
        <w:rPr>
          <w:lang w:val="en-ID"/>
        </w:rPr>
        <w:lastRenderedPageBreak/>
        <w:t xml:space="preserve">Yacob, S. (2021). PETRONAS, oil money, and Malaysia’s national sovereignty. </w:t>
      </w:r>
      <w:r w:rsidRPr="00B04EED">
        <w:rPr>
          <w:i/>
          <w:iCs/>
          <w:lang w:val="en-ID"/>
        </w:rPr>
        <w:t xml:space="preserve">Journal of the Malaysian </w:t>
      </w:r>
      <w:r w:rsidRPr="00B04EED">
        <w:rPr>
          <w:i/>
          <w:iCs/>
          <w:lang w:val="en-ID"/>
        </w:rPr>
        <w:t>Branch of the Royal Asiatic Society, 94</w:t>
      </w:r>
      <w:r w:rsidRPr="00B04EED">
        <w:rPr>
          <w:lang w:val="en-ID"/>
        </w:rPr>
        <w:t>(1), 119–144. https://doi.org/10.1353/ras.2021.0014</w:t>
      </w:r>
      <w:r w:rsidR="00E42BA0">
        <w:t>.</w:t>
      </w:r>
    </w:p>
    <w:p w14:paraId="75ED1472" w14:textId="77777777" w:rsidR="004D316F" w:rsidRPr="004D316F" w:rsidRDefault="004D316F" w:rsidP="0060711C">
      <w:pPr>
        <w:pStyle w:val="Author"/>
        <w:jc w:val="left"/>
        <w:rPr>
          <w:lang w:eastAsia="zh-CN"/>
        </w:rPr>
        <w:sectPr w:rsidR="004D316F" w:rsidRPr="004D316F" w:rsidSect="0088734C">
          <w:type w:val="continuous"/>
          <w:pgSz w:w="11907" w:h="16840" w:code="9"/>
          <w:pgMar w:top="1418" w:right="720" w:bottom="1418" w:left="720" w:header="720" w:footer="720" w:gutter="0"/>
          <w:cols w:num="2" w:space="720"/>
          <w:titlePg/>
          <w:docGrid w:linePitch="360"/>
        </w:sectPr>
      </w:pPr>
    </w:p>
    <w:p w14:paraId="23364FF4" w14:textId="77777777" w:rsidR="00620770" w:rsidRPr="0060711C" w:rsidRDefault="00620770" w:rsidP="0060711C">
      <w:pPr>
        <w:autoSpaceDE w:val="0"/>
        <w:autoSpaceDN w:val="0"/>
        <w:adjustRightInd w:val="0"/>
        <w:spacing w:after="0" w:line="240" w:lineRule="auto"/>
        <w:rPr>
          <w:rFonts w:cs="Calibri"/>
        </w:rPr>
      </w:pPr>
    </w:p>
    <w:sectPr w:rsidR="00620770" w:rsidRPr="0060711C" w:rsidSect="0088734C">
      <w:type w:val="continuous"/>
      <w:pgSz w:w="11907" w:h="16840" w:code="9"/>
      <w:pgMar w:top="1418" w:right="1418"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D3FEA89" w14:textId="77777777" w:rsidR="000B13D5" w:rsidRDefault="000B13D5" w:rsidP="001D3718">
      <w:pPr>
        <w:spacing w:after="0" w:line="240" w:lineRule="auto"/>
      </w:pPr>
      <w:r>
        <w:separator/>
      </w:r>
    </w:p>
  </w:endnote>
  <w:endnote w:type="continuationSeparator" w:id="0">
    <w:p w14:paraId="66E6117D" w14:textId="77777777" w:rsidR="000B13D5" w:rsidRDefault="000B13D5"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unicode">
    <w:altName w:val="Times New Roman"/>
    <w:panose1 w:val="020B0604020202020204"/>
    <w:charset w:val="00"/>
    <w:family w:val="auto"/>
    <w:pitch w:val="variable"/>
    <w:sig w:usb0="00000087" w:usb1="5000E4FF" w:usb2="00008004" w:usb3="00000000" w:csb0="8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7738079" w14:textId="7DE1E1DD" w:rsidR="004D3498" w:rsidRPr="00492DC6" w:rsidRDefault="00AF2F76" w:rsidP="00937736">
    <w:pPr>
      <w:pStyle w:val="Footer"/>
      <w:tabs>
        <w:tab w:val="clear" w:pos="4680"/>
        <w:tab w:val="center" w:pos="4395"/>
      </w:tabs>
      <w:jc w:val="center"/>
      <w:rPr>
        <w:sz w:val="18"/>
        <w:szCs w:val="18"/>
      </w:rPr>
    </w:pPr>
    <w:r w:rsidRPr="00AF2F76">
      <w:rPr>
        <w:rFonts w:ascii="Times New Roman" w:hAnsi="Times New Roman"/>
        <w:i/>
        <w:noProof/>
        <w:sz w:val="18"/>
        <w:szCs w:val="18"/>
      </w:rPr>
      <w:t>Novri Silfani</w:t>
    </w:r>
    <w:r w:rsidRPr="00492DC6">
      <w:rPr>
        <w:rFonts w:ascii="Times New Roman" w:hAnsi="Times New Roman"/>
        <w:i/>
        <w:noProof/>
        <w:sz w:val="18"/>
        <w:szCs w:val="18"/>
      </w:rPr>
      <w:t xml:space="preserve"> et.al (</w:t>
    </w:r>
    <w:r w:rsidRPr="00AF2F76">
      <w:rPr>
        <w:rFonts w:ascii="Times New Roman" w:hAnsi="Times New Roman"/>
        <w:i/>
        <w:noProof/>
        <w:sz w:val="18"/>
        <w:szCs w:val="18"/>
      </w:rPr>
      <w:t>The Petronas Twin Towers as a Symbol of Malaysian</w:t>
    </w:r>
    <w:r w:rsidRPr="00492DC6">
      <w:rPr>
        <w:rFonts w:ascii="Times New Roman" w:hAnsi="Times New Roman"/>
        <w:i/>
        <w:noProof/>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483C64C" w14:textId="7CB07C17" w:rsidR="00A25627" w:rsidRPr="00492DC6" w:rsidRDefault="00AF2F76" w:rsidP="00937736">
    <w:pPr>
      <w:pStyle w:val="Footer"/>
      <w:tabs>
        <w:tab w:val="clear" w:pos="4680"/>
        <w:tab w:val="clear" w:pos="9360"/>
        <w:tab w:val="center" w:pos="4395"/>
        <w:tab w:val="right" w:pos="8788"/>
      </w:tabs>
      <w:jc w:val="center"/>
      <w:rPr>
        <w:rFonts w:ascii="Times New Roman" w:hAnsi="Times New Roman"/>
        <w:sz w:val="18"/>
        <w:szCs w:val="18"/>
      </w:rPr>
    </w:pPr>
    <w:r w:rsidRPr="00AF2F76">
      <w:rPr>
        <w:rFonts w:ascii="Times New Roman" w:hAnsi="Times New Roman"/>
        <w:i/>
        <w:noProof/>
        <w:sz w:val="18"/>
        <w:szCs w:val="18"/>
      </w:rPr>
      <w:t>Novri Silfani</w:t>
    </w:r>
    <w:r w:rsidR="001812B4" w:rsidRPr="00492DC6">
      <w:rPr>
        <w:rFonts w:ascii="Times New Roman" w:hAnsi="Times New Roman"/>
        <w:i/>
        <w:noProof/>
        <w:sz w:val="18"/>
        <w:szCs w:val="18"/>
      </w:rPr>
      <w:t xml:space="preserve"> et.al (</w:t>
    </w:r>
    <w:r w:rsidRPr="00AF2F76">
      <w:rPr>
        <w:rFonts w:ascii="Times New Roman" w:hAnsi="Times New Roman"/>
        <w:i/>
        <w:noProof/>
        <w:sz w:val="18"/>
        <w:szCs w:val="18"/>
      </w:rPr>
      <w:t>The Petronas Twin Towers as a Symbol of Malaysian</w:t>
    </w:r>
    <w:r w:rsidR="001812B4" w:rsidRPr="00492DC6">
      <w:rPr>
        <w:rFonts w:ascii="Times New Roman" w:hAnsi="Times New Roman"/>
        <w:i/>
        <w:noProof/>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70DE768" w14:textId="5A997F01" w:rsidR="000A26F5" w:rsidRPr="000A26F5" w:rsidRDefault="00B456B2">
    <w:pPr>
      <w:pStyle w:val="Footer"/>
      <w:rPr>
        <w:i/>
        <w:sz w:val="18"/>
        <w:szCs w:val="18"/>
      </w:rPr>
    </w:pPr>
    <w:r w:rsidRPr="00B456B2">
      <w:rPr>
        <w:i/>
        <w:sz w:val="18"/>
        <w:szCs w:val="18"/>
      </w:rPr>
      <w:t>http://dx.doi.org/10.17977/um048v32i1p</w:t>
    </w:r>
    <w:r w:rsidR="00865AB5" w:rsidRPr="00865AB5">
      <w:rPr>
        <w:i/>
        <w:sz w:val="18"/>
        <w:szCs w:val="18"/>
      </w:rPr>
      <w:t>176-188</w:t>
    </w:r>
    <w:r w:rsidR="000A26F5" w:rsidRPr="000A26F5">
      <w:rPr>
        <w: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639336D" w14:textId="77777777" w:rsidR="000B13D5" w:rsidRDefault="000B13D5" w:rsidP="001D3718">
      <w:pPr>
        <w:spacing w:after="0" w:line="240" w:lineRule="auto"/>
      </w:pPr>
      <w:r>
        <w:separator/>
      </w:r>
    </w:p>
  </w:footnote>
  <w:footnote w:type="continuationSeparator" w:id="0">
    <w:p w14:paraId="7EDDF66F" w14:textId="77777777" w:rsidR="000B13D5" w:rsidRDefault="000B13D5" w:rsidP="001D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A503D48" w14:textId="77777777" w:rsidR="00A25627" w:rsidRPr="00F719F2" w:rsidRDefault="00A25627" w:rsidP="0099587C">
    <w:pPr>
      <w:pStyle w:val="Header"/>
      <w:tabs>
        <w:tab w:val="clear" w:pos="4111"/>
        <w:tab w:val="clear" w:pos="8789"/>
        <w:tab w:val="center" w:pos="4395"/>
        <w:tab w:val="right" w:pos="8788"/>
      </w:tabs>
      <w:jc w:val="center"/>
      <w:rPr>
        <w:lang w:val="id-ID"/>
      </w:rPr>
    </w:pPr>
    <w:r w:rsidRPr="00024A44">
      <w:rPr>
        <w:sz w:val="22"/>
      </w:rPr>
      <w:fldChar w:fldCharType="begin"/>
    </w:r>
    <w:r w:rsidRPr="00024A44">
      <w:rPr>
        <w:sz w:val="22"/>
      </w:rPr>
      <w:instrText xml:space="preserve"> PAGE   \* MERGEFORMAT </w:instrText>
    </w:r>
    <w:r w:rsidRPr="00024A44">
      <w:rPr>
        <w:sz w:val="22"/>
      </w:rPr>
      <w:fldChar w:fldCharType="separate"/>
    </w:r>
    <w:r w:rsidR="007A2F8A">
      <w:rPr>
        <w:noProof/>
        <w:sz w:val="22"/>
      </w:rPr>
      <w:t>2</w:t>
    </w:r>
    <w:r w:rsidRPr="00024A44">
      <w:rPr>
        <w:noProof/>
        <w:sz w:val="22"/>
      </w:rPr>
      <w:fldChar w:fldCharType="end"/>
    </w:r>
    <w:r w:rsidR="0099587C">
      <w:rPr>
        <w:noProof/>
      </w:rPr>
      <w:tab/>
    </w:r>
    <w:proofErr w:type="spellStart"/>
    <w:r w:rsidR="00E67B0A" w:rsidRPr="00E67B0A">
      <w:t>Jurnal</w:t>
    </w:r>
    <w:proofErr w:type="spellEnd"/>
    <w:r w:rsidR="00E67B0A" w:rsidRPr="00E67B0A">
      <w:t xml:space="preserve"> </w:t>
    </w:r>
    <w:proofErr w:type="spellStart"/>
    <w:r w:rsidR="00E67B0A" w:rsidRPr="00E67B0A">
      <w:t>Ilmu</w:t>
    </w:r>
    <w:proofErr w:type="spellEnd"/>
    <w:r w:rsidR="00E67B0A" w:rsidRPr="00E67B0A">
      <w:t xml:space="preserve"> Pendidikan (JIP)</w:t>
    </w:r>
    <w:r>
      <w:rPr>
        <w:noProof/>
      </w:rPr>
      <w:tab/>
    </w:r>
    <w:r w:rsidR="004D316F" w:rsidRPr="004D316F">
      <w:t>ISSN: 0215-9643</w:t>
    </w:r>
  </w:p>
  <w:p w14:paraId="034BCB6D" w14:textId="03535ED6" w:rsidR="00C0267B" w:rsidRPr="00A25627" w:rsidRDefault="004D316F" w:rsidP="00937736">
    <w:pPr>
      <w:pStyle w:val="Header"/>
      <w:tabs>
        <w:tab w:val="clear" w:pos="4111"/>
        <w:tab w:val="center" w:pos="4395"/>
      </w:tabs>
      <w:jc w:val="center"/>
    </w:pPr>
    <w:r>
      <w:tab/>
    </w:r>
    <w:r w:rsidR="00865AB5" w:rsidRPr="00B456B2">
      <w:t>Vol. 32, Issue 1, June 2026</w:t>
    </w:r>
    <w:r w:rsidR="00865AB5" w:rsidRPr="005E2CF0">
      <w:t xml:space="preserve">, pp. </w:t>
    </w:r>
    <w:r w:rsidR="00865AB5">
      <w:t>176</w:t>
    </w:r>
    <w:r w:rsidR="00865AB5" w:rsidRPr="005E2CF0">
      <w:t>-</w:t>
    </w:r>
    <w:r w:rsidR="00865AB5">
      <w:t>188</w:t>
    </w:r>
    <w:r w:rsidRPr="004D316F">
      <w:t xml:space="preserve"> </w:t>
    </w:r>
    <w:r>
      <w:tab/>
    </w:r>
    <w:r w:rsidRPr="004D316F">
      <w:t>e-ISSN: 2442-8655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42B1463" w14:textId="77777777" w:rsidR="005E2CF0" w:rsidRPr="00024A44" w:rsidRDefault="004D316F" w:rsidP="00116777">
    <w:pPr>
      <w:pStyle w:val="Header"/>
      <w:tabs>
        <w:tab w:val="clear" w:pos="4111"/>
        <w:tab w:val="clear" w:pos="8789"/>
        <w:tab w:val="center" w:pos="4395"/>
        <w:tab w:val="right" w:pos="8788"/>
      </w:tabs>
      <w:jc w:val="center"/>
      <w:rPr>
        <w:sz w:val="22"/>
      </w:rPr>
    </w:pPr>
    <w:r w:rsidRPr="004D316F">
      <w:t>ISSN: 0215-9643</w:t>
    </w:r>
    <w:r w:rsidR="0099587C">
      <w:tab/>
    </w:r>
    <w:proofErr w:type="spellStart"/>
    <w:r w:rsidR="00E67B0A" w:rsidRPr="00E67B0A">
      <w:t>Jurnal</w:t>
    </w:r>
    <w:proofErr w:type="spellEnd"/>
    <w:r w:rsidR="00E67B0A" w:rsidRPr="00E67B0A">
      <w:t xml:space="preserve"> </w:t>
    </w:r>
    <w:proofErr w:type="spellStart"/>
    <w:r w:rsidR="00E67B0A" w:rsidRPr="00E67B0A">
      <w:t>Ilmu</w:t>
    </w:r>
    <w:proofErr w:type="spellEnd"/>
    <w:r w:rsidR="00E67B0A" w:rsidRPr="00E67B0A">
      <w:t xml:space="preserve"> Pendidikan (JIP)</w:t>
    </w:r>
    <w:r w:rsidR="004D3498">
      <w:rPr>
        <w:noProof/>
      </w:rPr>
      <w:tab/>
    </w:r>
    <w:r w:rsidR="005E2CF0" w:rsidRPr="00024A44">
      <w:rPr>
        <w:sz w:val="22"/>
      </w:rPr>
      <w:fldChar w:fldCharType="begin"/>
    </w:r>
    <w:r w:rsidR="005E2CF0" w:rsidRPr="00024A44">
      <w:rPr>
        <w:sz w:val="22"/>
      </w:rPr>
      <w:instrText xml:space="preserve"> PAGE   \* MERGEFORMAT </w:instrText>
    </w:r>
    <w:r w:rsidR="005E2CF0" w:rsidRPr="00024A44">
      <w:rPr>
        <w:sz w:val="22"/>
      </w:rPr>
      <w:fldChar w:fldCharType="separate"/>
    </w:r>
    <w:r w:rsidR="007A2F8A">
      <w:rPr>
        <w:noProof/>
        <w:sz w:val="22"/>
      </w:rPr>
      <w:t>3</w:t>
    </w:r>
    <w:r w:rsidR="005E2CF0" w:rsidRPr="00024A44">
      <w:rPr>
        <w:noProof/>
        <w:sz w:val="22"/>
      </w:rPr>
      <w:fldChar w:fldCharType="end"/>
    </w:r>
  </w:p>
  <w:p w14:paraId="43B9F753" w14:textId="4BC386D8" w:rsidR="005E2CF0" w:rsidRPr="005E2CF0" w:rsidRDefault="00116777" w:rsidP="00116777">
    <w:pPr>
      <w:pStyle w:val="Header"/>
      <w:jc w:val="center"/>
      <w:rPr>
        <w:szCs w:val="16"/>
      </w:rPr>
    </w:pPr>
    <w:r w:rsidRPr="004D316F">
      <w:t>e-ISSN: 2442-8655</w:t>
    </w:r>
    <w:r>
      <w:tab/>
      <w:t xml:space="preserve">         </w:t>
    </w:r>
    <w:r w:rsidR="00865AB5" w:rsidRPr="00B456B2">
      <w:t>Vol. 32, Issue 1, June 2026</w:t>
    </w:r>
    <w:r w:rsidR="00865AB5" w:rsidRPr="005E2CF0">
      <w:t xml:space="preserve">, pp. </w:t>
    </w:r>
    <w:r w:rsidR="00865AB5">
      <w:t>176</w:t>
    </w:r>
    <w:r w:rsidR="00865AB5" w:rsidRPr="005E2CF0">
      <w:t>-</w:t>
    </w:r>
    <w:r w:rsidR="00865AB5">
      <w:t>188</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82EE884" w14:textId="77777777" w:rsidR="00A25627" w:rsidRPr="00F719F2" w:rsidRDefault="004F4AAB" w:rsidP="00116777">
    <w:pPr>
      <w:pStyle w:val="Header"/>
      <w:tabs>
        <w:tab w:val="clear" w:pos="8789"/>
        <w:tab w:val="right" w:pos="8788"/>
      </w:tabs>
      <w:jc w:val="center"/>
      <w:rPr>
        <w:lang w:val="id-ID"/>
      </w:rPr>
    </w:pPr>
    <w:proofErr w:type="spellStart"/>
    <w:r w:rsidRPr="004F4AAB">
      <w:t>Jurnal</w:t>
    </w:r>
    <w:proofErr w:type="spellEnd"/>
    <w:r w:rsidRPr="004F4AAB">
      <w:t xml:space="preserve"> </w:t>
    </w:r>
    <w:proofErr w:type="spellStart"/>
    <w:r w:rsidRPr="004F4AAB">
      <w:t>Ilmu</w:t>
    </w:r>
    <w:proofErr w:type="spellEnd"/>
    <w:r w:rsidRPr="004F4AAB">
      <w:t xml:space="preserve"> Pendidikan (JIP)</w:t>
    </w:r>
    <w:r>
      <w:tab/>
    </w:r>
    <w:r w:rsidR="00684FEA">
      <w:tab/>
    </w:r>
    <w:r w:rsidR="004D316F" w:rsidRPr="004D316F">
      <w:t>ISSN: 0215-9643    e-ISSN: 2442-8655</w:t>
    </w:r>
  </w:p>
  <w:p w14:paraId="7A9ACEF7" w14:textId="2A9870C0" w:rsidR="00A25627" w:rsidRPr="00024A44" w:rsidRDefault="00B456B2" w:rsidP="00116777">
    <w:pPr>
      <w:pStyle w:val="Header"/>
      <w:tabs>
        <w:tab w:val="clear" w:pos="8789"/>
        <w:tab w:val="right" w:pos="8788"/>
      </w:tabs>
      <w:jc w:val="center"/>
    </w:pPr>
    <w:r w:rsidRPr="00B456B2">
      <w:t>Vol. 32, Issue 1, June 2026</w:t>
    </w:r>
    <w:r w:rsidR="00A25627" w:rsidRPr="005E2CF0">
      <w:t xml:space="preserve">, pp. </w:t>
    </w:r>
    <w:r w:rsidR="003767A1">
      <w:t>176</w:t>
    </w:r>
    <w:r w:rsidR="00A25627" w:rsidRPr="005E2CF0">
      <w:t>-</w:t>
    </w:r>
    <w:r w:rsidR="003767A1">
      <w:t>188</w:t>
    </w:r>
    <w:r w:rsidR="00A25627">
      <w:tab/>
    </w:r>
    <w:r w:rsidR="00A25627">
      <w:tab/>
    </w:r>
    <w:r w:rsidR="00A25627" w:rsidRPr="00024A44">
      <w:rPr>
        <w:sz w:val="22"/>
      </w:rPr>
      <w:fldChar w:fldCharType="begin"/>
    </w:r>
    <w:r w:rsidR="00A25627" w:rsidRPr="00024A44">
      <w:rPr>
        <w:sz w:val="22"/>
      </w:rPr>
      <w:instrText xml:space="preserve"> PAGE   \* MERGEFORMAT </w:instrText>
    </w:r>
    <w:r w:rsidR="00A25627" w:rsidRPr="00024A44">
      <w:rPr>
        <w:sz w:val="22"/>
      </w:rPr>
      <w:fldChar w:fldCharType="separate"/>
    </w:r>
    <w:r w:rsidR="007A2F8A">
      <w:rPr>
        <w:noProof/>
        <w:sz w:val="22"/>
      </w:rPr>
      <w:t>1</w:t>
    </w:r>
    <w:r w:rsidR="00A25627" w:rsidRPr="00024A44">
      <w:rPr>
        <w:noProof/>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 w15:restartNumberingAfterBreak="0">
    <w:nsid w:val="34B37360"/>
    <w:multiLevelType w:val="multilevel"/>
    <w:tmpl w:val="78D27160"/>
    <w:styleLink w:val="CurrentList1"/>
    <w:lvl w:ilvl="0">
      <w:start w:val="1"/>
      <w:numFmt w:val="bullet"/>
      <w:lvlText w:val=""/>
      <w:lvlJc w:val="left"/>
      <w:pPr>
        <w:tabs>
          <w:tab w:val="num" w:pos="648"/>
        </w:tabs>
        <w:ind w:left="648"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660336"/>
    <w:multiLevelType w:val="hybridMultilevel"/>
    <w:tmpl w:val="E9B427C4"/>
    <w:lvl w:ilvl="0" w:tplc="6FAEBDE6">
      <w:start w:val="1"/>
      <w:numFmt w:val="bullet"/>
      <w:pStyle w:val="bulletlist"/>
      <w:lvlText w:val=""/>
      <w:lvlJc w:val="left"/>
      <w:pPr>
        <w:tabs>
          <w:tab w:val="num" w:pos="648"/>
        </w:tabs>
        <w:ind w:left="648"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52CA544A"/>
    <w:multiLevelType w:val="singleLevel"/>
    <w:tmpl w:val="71D8095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5" w15:restartNumberingAfterBreak="0">
    <w:nsid w:val="6C402C58"/>
    <w:multiLevelType w:val="hybridMultilevel"/>
    <w:tmpl w:val="A14E9E24"/>
    <w:lvl w:ilvl="0" w:tplc="EA4032B4">
      <w:start w:val="1"/>
      <w:numFmt w:val="decimal"/>
      <w:pStyle w:val="figurecaption"/>
      <w:lvlText w:val="Fig. %1."/>
      <w:lvlJc w:val="left"/>
      <w:pPr>
        <w:ind w:left="360" w:hanging="360"/>
      </w:pPr>
      <w:rPr>
        <w:rFonts w:ascii="Times New Roman" w:hAnsi="Times New Roman" w:cs="Times New Roman" w:hint="default"/>
        <w:b w:val="0"/>
        <w:bCs w:val="0"/>
        <w:i w:val="0"/>
        <w:iCs w:val="0"/>
        <w:caps w:val="0"/>
        <w:vanish w:val="0"/>
        <w:color w:val="auto"/>
        <w:sz w:val="20"/>
        <w:szCs w:val="16"/>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CD32DA8"/>
    <w:multiLevelType w:val="singleLevel"/>
    <w:tmpl w:val="F39C6EF2"/>
    <w:lvl w:ilvl="0">
      <w:start w:val="1"/>
      <w:numFmt w:val="decimal"/>
      <w:pStyle w:val="tablehead"/>
      <w:lvlText w:val="Table %1. "/>
      <w:lvlJc w:val="left"/>
      <w:pPr>
        <w:tabs>
          <w:tab w:val="num" w:pos="1080"/>
        </w:tabs>
        <w:ind w:left="0" w:firstLine="0"/>
      </w:pPr>
      <w:rPr>
        <w:rFonts w:ascii="Times New Roman" w:hAnsi="Times New Roman" w:cs="Times New Roman" w:hint="default"/>
        <w:b w:val="0"/>
        <w:bCs w:val="0"/>
        <w:i w:val="0"/>
        <w:iCs w:val="0"/>
        <w:caps w:val="0"/>
        <w:strike w:val="0"/>
        <w:dstrike w:val="0"/>
        <w:vanish w:val="0"/>
        <w:color w:val="000000"/>
        <w:sz w:val="20"/>
        <w:szCs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943611196">
    <w:abstractNumId w:val="2"/>
  </w:num>
  <w:num w:numId="2" w16cid:durableId="1268005179">
    <w:abstractNumId w:val="5"/>
  </w:num>
  <w:num w:numId="3" w16cid:durableId="341972394">
    <w:abstractNumId w:val="3"/>
  </w:num>
  <w:num w:numId="4" w16cid:durableId="1956404001">
    <w:abstractNumId w:val="4"/>
  </w:num>
  <w:num w:numId="5" w16cid:durableId="199437649">
    <w:abstractNumId w:val="6"/>
  </w:num>
  <w:num w:numId="6" w16cid:durableId="1881477637">
    <w:abstractNumId w:val="7"/>
  </w:num>
  <w:num w:numId="7" w16cid:durableId="18120413">
    <w:abstractNumId w:val="0"/>
  </w:num>
  <w:num w:numId="8" w16cid:durableId="2115593335">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0"/>
  <w:proofState w:spelling="clean" w:grammar="clean"/>
  <w:attachedTemplate r:id="rId1"/>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AyNza0NLIwMjY1sbRU0lEKTi0uzszPAykwqQUAYMLHgiwAAAA="/>
  </w:docVars>
  <w:rsids>
    <w:rsidRoot w:val="00531785"/>
    <w:rsid w:val="00024A44"/>
    <w:rsid w:val="00040E74"/>
    <w:rsid w:val="00044CA8"/>
    <w:rsid w:val="0007464A"/>
    <w:rsid w:val="0007604B"/>
    <w:rsid w:val="000A26F5"/>
    <w:rsid w:val="000A2FD8"/>
    <w:rsid w:val="000B13D5"/>
    <w:rsid w:val="000E586B"/>
    <w:rsid w:val="00116777"/>
    <w:rsid w:val="00141C76"/>
    <w:rsid w:val="00142C0F"/>
    <w:rsid w:val="00161E06"/>
    <w:rsid w:val="00164AA9"/>
    <w:rsid w:val="001812B4"/>
    <w:rsid w:val="001A7174"/>
    <w:rsid w:val="001D3718"/>
    <w:rsid w:val="001D4870"/>
    <w:rsid w:val="00201F81"/>
    <w:rsid w:val="002059BF"/>
    <w:rsid w:val="00237154"/>
    <w:rsid w:val="0027672B"/>
    <w:rsid w:val="00283EF6"/>
    <w:rsid w:val="00284735"/>
    <w:rsid w:val="002D5AE6"/>
    <w:rsid w:val="002E5062"/>
    <w:rsid w:val="002F29F4"/>
    <w:rsid w:val="002F659D"/>
    <w:rsid w:val="00302CF4"/>
    <w:rsid w:val="00313BD4"/>
    <w:rsid w:val="0031720F"/>
    <w:rsid w:val="00317CA4"/>
    <w:rsid w:val="00341680"/>
    <w:rsid w:val="0035489D"/>
    <w:rsid w:val="00360BE3"/>
    <w:rsid w:val="00363634"/>
    <w:rsid w:val="003767A1"/>
    <w:rsid w:val="00386A14"/>
    <w:rsid w:val="003C7559"/>
    <w:rsid w:val="003E54A5"/>
    <w:rsid w:val="00467DB0"/>
    <w:rsid w:val="00492DC6"/>
    <w:rsid w:val="00496EDE"/>
    <w:rsid w:val="004D316F"/>
    <w:rsid w:val="004D3498"/>
    <w:rsid w:val="004D3E53"/>
    <w:rsid w:val="004F15D2"/>
    <w:rsid w:val="004F4AAB"/>
    <w:rsid w:val="005020E9"/>
    <w:rsid w:val="00512A3D"/>
    <w:rsid w:val="00530B39"/>
    <w:rsid w:val="00531785"/>
    <w:rsid w:val="00537B9A"/>
    <w:rsid w:val="005C2462"/>
    <w:rsid w:val="005E2CF0"/>
    <w:rsid w:val="005E63A3"/>
    <w:rsid w:val="0060651D"/>
    <w:rsid w:val="0060711C"/>
    <w:rsid w:val="00617001"/>
    <w:rsid w:val="00620770"/>
    <w:rsid w:val="00620E28"/>
    <w:rsid w:val="006419EF"/>
    <w:rsid w:val="00652478"/>
    <w:rsid w:val="00652568"/>
    <w:rsid w:val="0065280A"/>
    <w:rsid w:val="00684FEA"/>
    <w:rsid w:val="006932A5"/>
    <w:rsid w:val="006C30E1"/>
    <w:rsid w:val="006C49F7"/>
    <w:rsid w:val="006E3FE1"/>
    <w:rsid w:val="006F04CD"/>
    <w:rsid w:val="00732E00"/>
    <w:rsid w:val="00755C01"/>
    <w:rsid w:val="00755CE9"/>
    <w:rsid w:val="00756F93"/>
    <w:rsid w:val="00773423"/>
    <w:rsid w:val="00792D7E"/>
    <w:rsid w:val="007A2F8A"/>
    <w:rsid w:val="007C7377"/>
    <w:rsid w:val="007E3DB0"/>
    <w:rsid w:val="007F476A"/>
    <w:rsid w:val="00806396"/>
    <w:rsid w:val="008103D2"/>
    <w:rsid w:val="00812FA6"/>
    <w:rsid w:val="00856998"/>
    <w:rsid w:val="00865AB5"/>
    <w:rsid w:val="00882EAA"/>
    <w:rsid w:val="0088734C"/>
    <w:rsid w:val="008C55B6"/>
    <w:rsid w:val="008D5901"/>
    <w:rsid w:val="008D7EDA"/>
    <w:rsid w:val="008E54D7"/>
    <w:rsid w:val="00926D08"/>
    <w:rsid w:val="00937736"/>
    <w:rsid w:val="009449D8"/>
    <w:rsid w:val="00951AED"/>
    <w:rsid w:val="0097752F"/>
    <w:rsid w:val="009811DD"/>
    <w:rsid w:val="009832BA"/>
    <w:rsid w:val="0099587C"/>
    <w:rsid w:val="009B30CE"/>
    <w:rsid w:val="009B6995"/>
    <w:rsid w:val="009C2430"/>
    <w:rsid w:val="009D10B1"/>
    <w:rsid w:val="009D348E"/>
    <w:rsid w:val="00A03FB9"/>
    <w:rsid w:val="00A068F6"/>
    <w:rsid w:val="00A25627"/>
    <w:rsid w:val="00A37FA3"/>
    <w:rsid w:val="00A46EF6"/>
    <w:rsid w:val="00A675E4"/>
    <w:rsid w:val="00AC0ABA"/>
    <w:rsid w:val="00AE2FC2"/>
    <w:rsid w:val="00AF154D"/>
    <w:rsid w:val="00AF2F76"/>
    <w:rsid w:val="00B049A9"/>
    <w:rsid w:val="00B04EED"/>
    <w:rsid w:val="00B3474F"/>
    <w:rsid w:val="00B456B2"/>
    <w:rsid w:val="00B73065"/>
    <w:rsid w:val="00BA5995"/>
    <w:rsid w:val="00BB2C55"/>
    <w:rsid w:val="00C0267B"/>
    <w:rsid w:val="00C27DC7"/>
    <w:rsid w:val="00C33350"/>
    <w:rsid w:val="00C43852"/>
    <w:rsid w:val="00C61423"/>
    <w:rsid w:val="00C7557D"/>
    <w:rsid w:val="00CB0C21"/>
    <w:rsid w:val="00CE747C"/>
    <w:rsid w:val="00D00FD0"/>
    <w:rsid w:val="00D03C2E"/>
    <w:rsid w:val="00D03D05"/>
    <w:rsid w:val="00D1474E"/>
    <w:rsid w:val="00D407BE"/>
    <w:rsid w:val="00D5628A"/>
    <w:rsid w:val="00D60ADF"/>
    <w:rsid w:val="00D73F08"/>
    <w:rsid w:val="00DD77C7"/>
    <w:rsid w:val="00E224B8"/>
    <w:rsid w:val="00E32091"/>
    <w:rsid w:val="00E42BA0"/>
    <w:rsid w:val="00E67B0A"/>
    <w:rsid w:val="00E900FD"/>
    <w:rsid w:val="00E931B3"/>
    <w:rsid w:val="00EA6E86"/>
    <w:rsid w:val="00EB4862"/>
    <w:rsid w:val="00EF06E6"/>
    <w:rsid w:val="00EF76C5"/>
    <w:rsid w:val="00F427DE"/>
    <w:rsid w:val="00F42A19"/>
    <w:rsid w:val="00F46038"/>
    <w:rsid w:val="00F53482"/>
    <w:rsid w:val="00F54852"/>
    <w:rsid w:val="00F63E66"/>
    <w:rsid w:val="00F719F2"/>
    <w:rsid w:val="00F76EFB"/>
    <w:rsid w:val="00FA223A"/>
    <w:rsid w:val="00FA6E76"/>
    <w:rsid w:val="00FB194F"/>
    <w:rsid w:val="00FD4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B15C7"/>
  <w15:docId w15:val="{C0146375-826A-D949-9E90-08D217D4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9"/>
    <w:qFormat/>
    <w:rsid w:val="00FD4D2E"/>
    <w:pPr>
      <w:keepNext/>
      <w:keepLines/>
      <w:numPr>
        <w:numId w:val="3"/>
      </w:numPr>
      <w:tabs>
        <w:tab w:val="left" w:pos="216"/>
      </w:tabs>
      <w:spacing w:before="360" w:after="80" w:line="240" w:lineRule="auto"/>
      <w:ind w:firstLine="0"/>
      <w:outlineLvl w:val="0"/>
    </w:pPr>
    <w:rPr>
      <w:rFonts w:ascii="Times New Roman" w:eastAsia="MS Mincho" w:hAnsi="Times New Roman"/>
      <w:b/>
      <w:noProof/>
      <w:szCs w:val="20"/>
    </w:rPr>
  </w:style>
  <w:style w:type="paragraph" w:styleId="Heading2">
    <w:name w:val="heading 2"/>
    <w:basedOn w:val="Normal"/>
    <w:next w:val="Normal"/>
    <w:link w:val="Heading2Char"/>
    <w:uiPriority w:val="99"/>
    <w:qFormat/>
    <w:rsid w:val="00201F81"/>
    <w:pPr>
      <w:keepNext/>
      <w:keepLines/>
      <w:numPr>
        <w:ilvl w:val="1"/>
        <w:numId w:val="3"/>
      </w:numPr>
      <w:tabs>
        <w:tab w:val="clear" w:pos="360"/>
        <w:tab w:val="num" w:pos="288"/>
      </w:tabs>
      <w:spacing w:before="120" w:after="60" w:line="240" w:lineRule="auto"/>
      <w:outlineLvl w:val="1"/>
    </w:pPr>
    <w:rPr>
      <w:rFonts w:ascii="Times New Roman" w:eastAsia="MS Mincho" w:hAnsi="Times New Roman"/>
      <w:i/>
      <w:iCs/>
      <w:noProof/>
      <w:szCs w:val="20"/>
    </w:rPr>
  </w:style>
  <w:style w:type="paragraph" w:styleId="Heading3">
    <w:name w:val="heading 3"/>
    <w:basedOn w:val="Normal"/>
    <w:next w:val="Normal"/>
    <w:link w:val="Heading3Char"/>
    <w:uiPriority w:val="99"/>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9"/>
    <w:qFormat/>
    <w:rsid w:val="00201F81"/>
    <w:pPr>
      <w:tabs>
        <w:tab w:val="left" w:pos="360"/>
      </w:tabs>
      <w:spacing w:before="160" w:after="80" w:line="240" w:lineRule="auto"/>
      <w:jc w:val="center"/>
      <w:outlineLvl w:val="4"/>
    </w:pPr>
    <w:rPr>
      <w:rFonts w:ascii="Times New Roman" w:eastAsia="Times New Roman" w:hAnsi="Times New Roman"/>
      <w:b/>
      <w:noProo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rsid w:val="00951AED"/>
    <w:pPr>
      <w:suppressAutoHyphens/>
      <w:spacing w:line="200" w:lineRule="exact"/>
      <w:jc w:val="center"/>
    </w:pPr>
    <w:rPr>
      <w:rFonts w:ascii="Times New Roman" w:eastAsia="SimSun" w:hAnsi="Times New Roman"/>
      <w:i/>
      <w:noProof/>
      <w:sz w:val="18"/>
    </w:rPr>
  </w:style>
  <w:style w:type="paragraph" w:customStyle="1" w:styleId="Author">
    <w:name w:val="Author"/>
    <w:next w:val="Normal"/>
    <w:rsid w:val="00951AED"/>
    <w:pPr>
      <w:keepNext/>
      <w:suppressAutoHyphens/>
      <w:spacing w:after="160" w:line="300" w:lineRule="exact"/>
      <w:ind w:right="2"/>
      <w:jc w:val="center"/>
    </w:pPr>
    <w:rPr>
      <w:rFonts w:ascii="Times New Roman" w:eastAsia="SimSun" w:hAnsi="Times New Roman"/>
      <w:noProof/>
      <w:sz w:val="22"/>
      <w:szCs w:val="22"/>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JIP">
    <w:name w:val="Title JIP"/>
    <w:next w:val="Author"/>
    <w:autoRedefine/>
    <w:rsid w:val="00283EF6"/>
    <w:pPr>
      <w:suppressAutoHyphens/>
      <w:spacing w:after="240" w:line="400" w:lineRule="exact"/>
    </w:pPr>
    <w:rPr>
      <w:rFonts w:ascii="Times New Roman" w:eastAsia="SimSun" w:hAnsi="Times New Roman"/>
      <w:sz w:val="34"/>
    </w:rPr>
  </w:style>
  <w:style w:type="paragraph" w:customStyle="1" w:styleId="AbstractHead">
    <w:name w:val="AbstractHead"/>
    <w:rsid w:val="006419EF"/>
    <w:rPr>
      <w:rFonts w:ascii="Times New Roman" w:eastAsia="Times New Roman" w:hAnsi="Times New Roman"/>
      <w:smallCaps/>
      <w:spacing w:val="24"/>
    </w:rPr>
  </w:style>
  <w:style w:type="paragraph" w:customStyle="1" w:styleId="AbstractText">
    <w:name w:val="AbstractText"/>
    <w:rsid w:val="00201F81"/>
    <w:pPr>
      <w:spacing w:after="80" w:line="200" w:lineRule="exact"/>
      <w:jc w:val="both"/>
    </w:pPr>
    <w:rPr>
      <w:rFonts w:ascii="Times New Roman" w:eastAsia="Times New Roman" w:hAnsi="Times New Roman"/>
    </w:rPr>
  </w:style>
  <w:style w:type="paragraph" w:customStyle="1" w:styleId="Articlehistory">
    <w:name w:val="Articlehistory"/>
    <w:rsid w:val="00BB2C55"/>
    <w:pPr>
      <w:spacing w:line="200" w:lineRule="exact"/>
    </w:pPr>
    <w:rPr>
      <w:rFonts w:ascii="Times New Roman" w:eastAsia="Times New Roman" w:hAnsi="Times New Roman"/>
      <w:i/>
      <w:sz w:val="14"/>
    </w:rPr>
  </w:style>
  <w:style w:type="paragraph" w:customStyle="1" w:styleId="ArticleinfoHead">
    <w:name w:val="ArticleinfoHead"/>
    <w:rsid w:val="00537B9A"/>
    <w:rPr>
      <w:rFonts w:ascii="Times New Roman" w:eastAsia="Times New Roman" w:hAnsi="Times New Roman"/>
      <w:smallCaps/>
      <w:spacing w:val="24"/>
    </w:rPr>
  </w:style>
  <w:style w:type="paragraph" w:customStyle="1" w:styleId="Keyword">
    <w:name w:val="Keyword"/>
    <w:rsid w:val="00BB2C55"/>
    <w:pPr>
      <w:spacing w:line="200" w:lineRule="exact"/>
    </w:pPr>
    <w:rPr>
      <w:rFonts w:ascii="Times New Roman" w:eastAsia="Times New Roman" w:hAnsi="Times New Roman"/>
      <w:i/>
      <w:sz w:val="14"/>
    </w:rPr>
  </w:style>
  <w:style w:type="paragraph" w:customStyle="1" w:styleId="KeywordHead">
    <w:name w:val="KeywordHead"/>
    <w:next w:val="Keyword"/>
    <w:rsid w:val="00BB2C55"/>
    <w:pPr>
      <w:spacing w:line="200" w:lineRule="exact"/>
    </w:pPr>
    <w:rPr>
      <w:rFonts w:ascii="Times New Roman" w:eastAsia="Times New Roman" w:hAnsi="Times New Roman"/>
      <w:b/>
      <w:i/>
      <w:noProof/>
      <w:sz w:val="14"/>
    </w:rPr>
  </w:style>
  <w:style w:type="character" w:customStyle="1" w:styleId="Heading1Char">
    <w:name w:val="Heading 1 Char"/>
    <w:link w:val="Heading1"/>
    <w:uiPriority w:val="99"/>
    <w:rsid w:val="00FD4D2E"/>
    <w:rPr>
      <w:rFonts w:ascii="Times New Roman" w:eastAsia="MS Mincho" w:hAnsi="Times New Roman"/>
      <w:b/>
      <w:noProof/>
      <w:sz w:val="22"/>
    </w:rPr>
  </w:style>
  <w:style w:type="character" w:customStyle="1" w:styleId="Heading2Char">
    <w:name w:val="Heading 2 Char"/>
    <w:link w:val="Heading2"/>
    <w:uiPriority w:val="99"/>
    <w:rsid w:val="00201F81"/>
    <w:rPr>
      <w:rFonts w:ascii="Times New Roman" w:eastAsia="MS Mincho" w:hAnsi="Times New Roman"/>
      <w:i/>
      <w:iCs/>
      <w:noProof/>
      <w:sz w:val="22"/>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201F81"/>
    <w:rPr>
      <w:rFonts w:ascii="Times New Roman" w:eastAsia="Times New Roman" w:hAnsi="Times New Roman"/>
      <w:b/>
      <w:noProof/>
      <w:sz w:val="22"/>
    </w:rPr>
  </w:style>
  <w:style w:type="paragraph" w:styleId="BodyText">
    <w:name w:val="Body Text"/>
    <w:basedOn w:val="Normal"/>
    <w:link w:val="BodyTextChar"/>
    <w:uiPriority w:val="99"/>
    <w:rsid w:val="009832BA"/>
    <w:pPr>
      <w:tabs>
        <w:tab w:val="left" w:pos="288"/>
      </w:tabs>
      <w:spacing w:after="120" w:line="228" w:lineRule="auto"/>
      <w:ind w:firstLine="288"/>
      <w:jc w:val="both"/>
    </w:pPr>
    <w:rPr>
      <w:rFonts w:ascii="Times New Roman" w:eastAsia="MS Mincho" w:hAnsi="Times New Roman"/>
      <w:spacing w:val="-4"/>
      <w:szCs w:val="20"/>
    </w:rPr>
  </w:style>
  <w:style w:type="character" w:customStyle="1" w:styleId="BodyTextChar">
    <w:name w:val="Body Text Char"/>
    <w:link w:val="BodyText"/>
    <w:uiPriority w:val="99"/>
    <w:rsid w:val="009832BA"/>
    <w:rPr>
      <w:rFonts w:ascii="Times New Roman" w:eastAsia="MS Mincho" w:hAnsi="Times New Roman"/>
      <w:spacing w:val="-4"/>
      <w:sz w:val="22"/>
    </w:rPr>
  </w:style>
  <w:style w:type="paragraph" w:customStyle="1" w:styleId="bulletlist">
    <w:name w:val="bullet list"/>
    <w:basedOn w:val="BodyText"/>
    <w:rsid w:val="00531785"/>
    <w:pPr>
      <w:numPr>
        <w:numId w:val="1"/>
      </w:numPr>
      <w:spacing w:after="0"/>
      <w:ind w:left="646" w:hanging="357"/>
    </w:pPr>
  </w:style>
  <w:style w:type="paragraph" w:customStyle="1" w:styleId="equation">
    <w:name w:val="equation"/>
    <w:basedOn w:val="Normal"/>
    <w:uiPriority w:val="99"/>
    <w:rsid w:val="002059BF"/>
    <w:pPr>
      <w:tabs>
        <w:tab w:val="center" w:pos="5670"/>
        <w:tab w:val="right" w:pos="8789"/>
      </w:tabs>
      <w:spacing w:before="240" w:after="240" w:line="216" w:lineRule="auto"/>
      <w:ind w:firstLine="397"/>
      <w:jc w:val="center"/>
    </w:pPr>
    <w:rPr>
      <w:rFonts w:ascii="Times New Roman" w:eastAsia="Times New Roman" w:hAnsi="Times New Roman" w:cs="Symbol"/>
      <w:sz w:val="20"/>
      <w:szCs w:val="20"/>
    </w:rPr>
  </w:style>
  <w:style w:type="paragraph" w:customStyle="1" w:styleId="figurecaption">
    <w:name w:val="figure caption"/>
    <w:rsid w:val="00D60ADF"/>
    <w:pPr>
      <w:numPr>
        <w:numId w:val="2"/>
      </w:numPr>
      <w:tabs>
        <w:tab w:val="left" w:pos="533"/>
      </w:tabs>
      <w:spacing w:before="80" w:after="200"/>
      <w:jc w:val="center"/>
    </w:pPr>
    <w:rPr>
      <w:rFonts w:ascii="Times New Roman" w:eastAsia="Times New Roman" w:hAnsi="Times New Roman"/>
      <w:noProof/>
      <w:szCs w:val="16"/>
    </w:rPr>
  </w:style>
  <w:style w:type="paragraph" w:customStyle="1" w:styleId="references">
    <w:name w:val="references"/>
    <w:link w:val="referencesChar"/>
    <w:uiPriority w:val="99"/>
    <w:rsid w:val="002F659D"/>
    <w:pPr>
      <w:numPr>
        <w:numId w:val="4"/>
      </w:numPr>
      <w:spacing w:after="120" w:line="20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1D4870"/>
    <w:pPr>
      <w:spacing w:after="0" w:line="240" w:lineRule="auto"/>
      <w:jc w:val="center"/>
    </w:pPr>
    <w:rPr>
      <w:rFonts w:ascii="Times New Roman" w:eastAsia="Times New Roman" w:hAnsi="Times New Roman"/>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1D4870"/>
    <w:pPr>
      <w:jc w:val="center"/>
    </w:pPr>
    <w:rPr>
      <w:rFonts w:ascii="Times New Roman" w:eastAsia="Times New Roman" w:hAnsi="Times New Roman"/>
      <w:noProof/>
      <w:sz w:val="18"/>
      <w:szCs w:val="16"/>
    </w:rPr>
  </w:style>
  <w:style w:type="paragraph" w:customStyle="1" w:styleId="tablefootnote">
    <w:name w:val="table footnote"/>
    <w:uiPriority w:val="99"/>
    <w:rsid w:val="00E931B3"/>
    <w:pPr>
      <w:numPr>
        <w:numId w:val="6"/>
      </w:numPr>
      <w:tabs>
        <w:tab w:val="left" w:pos="29"/>
      </w:tabs>
      <w:spacing w:before="60" w:after="30"/>
      <w:ind w:left="360"/>
    </w:pPr>
    <w:rPr>
      <w:rFonts w:ascii="Times New Roman" w:eastAsia="MS Mincho" w:hAnsi="Times New Roman"/>
      <w:sz w:val="16"/>
      <w:szCs w:val="12"/>
    </w:rPr>
  </w:style>
  <w:style w:type="paragraph" w:customStyle="1" w:styleId="tablehead">
    <w:name w:val="table head"/>
    <w:uiPriority w:val="99"/>
    <w:rsid w:val="00D60ADF"/>
    <w:pPr>
      <w:numPr>
        <w:numId w:val="5"/>
      </w:numPr>
      <w:tabs>
        <w:tab w:val="clear" w:pos="1080"/>
      </w:tabs>
      <w:spacing w:before="240" w:after="120"/>
      <w:jc w:val="center"/>
    </w:pPr>
    <w:rPr>
      <w:rFonts w:ascii="Times New Roman" w:eastAsia="Times New Roman" w:hAnsi="Times New Roman"/>
      <w:noProof/>
      <w:szCs w:val="16"/>
    </w:rPr>
  </w:style>
  <w:style w:type="paragraph" w:styleId="Header">
    <w:name w:val="header"/>
    <w:basedOn w:val="Normal"/>
    <w:link w:val="HeaderChar"/>
    <w:uiPriority w:val="99"/>
    <w:unhideWhenUsed/>
    <w:rsid w:val="00492DC6"/>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492DC6"/>
    <w:rPr>
      <w:rFonts w:ascii="Times New Roman" w:hAnsi="Times New Roman"/>
      <w:sz w:val="18"/>
      <w:szCs w:val="22"/>
    </w:rPr>
  </w:style>
  <w:style w:type="paragraph" w:styleId="Footer">
    <w:name w:val="footer"/>
    <w:basedOn w:val="Normal"/>
    <w:link w:val="FooterChar"/>
    <w:uiPriority w:val="99"/>
    <w:unhideWhenUsed/>
    <w:rsid w:val="005E2CF0"/>
    <w:pPr>
      <w:tabs>
        <w:tab w:val="center" w:pos="4680"/>
        <w:tab w:val="right" w:pos="9360"/>
      </w:tabs>
    </w:pPr>
  </w:style>
  <w:style w:type="character" w:customStyle="1" w:styleId="FooterChar">
    <w:name w:val="Footer Char"/>
    <w:link w:val="Footer"/>
    <w:uiPriority w:val="99"/>
    <w:rsid w:val="005E2CF0"/>
    <w:rPr>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table" w:styleId="ColorfulShading-Accent1">
    <w:name w:val="Colorful Shading Accent 1"/>
    <w:basedOn w:val="TableNormal"/>
    <w:uiPriority w:val="71"/>
    <w:rsid w:val="00BB2C55"/>
    <w:rPr>
      <w:rFonts w:eastAsia="Times New Roman"/>
      <w:color w:val="000000"/>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paragraph" w:customStyle="1" w:styleId="ArticlehistoryHead">
    <w:name w:val="ArticlehistoryHead"/>
    <w:basedOn w:val="Articlehistory"/>
    <w:qFormat/>
    <w:rsid w:val="00BB2C55"/>
    <w:pPr>
      <w:framePr w:hSpace="187" w:wrap="around" w:vAnchor="text" w:hAnchor="text" w:y="1"/>
      <w:suppressOverlap/>
    </w:pPr>
    <w:rPr>
      <w:b/>
      <w:i w:val="0"/>
    </w:rPr>
  </w:style>
  <w:style w:type="paragraph" w:customStyle="1" w:styleId="Default">
    <w:name w:val="Default"/>
    <w:rsid w:val="009D348E"/>
    <w:pPr>
      <w:autoSpaceDE w:val="0"/>
      <w:autoSpaceDN w:val="0"/>
      <w:adjustRightInd w:val="0"/>
    </w:pPr>
    <w:rPr>
      <w:rFonts w:cs="Calibri"/>
      <w:color w:val="000000"/>
      <w:sz w:val="24"/>
      <w:szCs w:val="24"/>
    </w:rPr>
  </w:style>
  <w:style w:type="paragraph" w:customStyle="1" w:styleId="Referensi">
    <w:name w:val="Referensi"/>
    <w:basedOn w:val="references"/>
    <w:link w:val="ReferensiChar"/>
    <w:qFormat/>
    <w:rsid w:val="00237154"/>
    <w:pPr>
      <w:numPr>
        <w:numId w:val="0"/>
      </w:numPr>
      <w:ind w:left="567" w:hanging="567"/>
    </w:pPr>
  </w:style>
  <w:style w:type="paragraph" w:styleId="BalloonText">
    <w:name w:val="Balloon Text"/>
    <w:basedOn w:val="Normal"/>
    <w:link w:val="BalloonTextChar"/>
    <w:uiPriority w:val="99"/>
    <w:semiHidden/>
    <w:unhideWhenUsed/>
    <w:rsid w:val="000E586B"/>
    <w:pPr>
      <w:spacing w:after="0" w:line="240" w:lineRule="auto"/>
    </w:pPr>
    <w:rPr>
      <w:rFonts w:ascii="Tahoma" w:hAnsi="Tahoma" w:cs="Tahoma"/>
      <w:sz w:val="16"/>
      <w:szCs w:val="16"/>
    </w:rPr>
  </w:style>
  <w:style w:type="character" w:customStyle="1" w:styleId="referencesChar">
    <w:name w:val="references Char"/>
    <w:link w:val="references"/>
    <w:uiPriority w:val="99"/>
    <w:rsid w:val="00237154"/>
    <w:rPr>
      <w:rFonts w:ascii="Times New Roman" w:eastAsia="Times New Roman" w:hAnsi="Times New Roman"/>
      <w:noProof/>
      <w:szCs w:val="16"/>
    </w:rPr>
  </w:style>
  <w:style w:type="character" w:customStyle="1" w:styleId="ReferensiChar">
    <w:name w:val="Referensi Char"/>
    <w:basedOn w:val="referencesChar"/>
    <w:link w:val="Referensi"/>
    <w:rsid w:val="00237154"/>
    <w:rPr>
      <w:rFonts w:ascii="Times New Roman" w:eastAsia="Times New Roman" w:hAnsi="Times New Roman"/>
      <w:noProof/>
      <w:szCs w:val="16"/>
    </w:rPr>
  </w:style>
  <w:style w:type="character" w:customStyle="1" w:styleId="BalloonTextChar">
    <w:name w:val="Balloon Text Char"/>
    <w:basedOn w:val="DefaultParagraphFont"/>
    <w:link w:val="BalloonText"/>
    <w:uiPriority w:val="99"/>
    <w:semiHidden/>
    <w:rsid w:val="000E586B"/>
    <w:rPr>
      <w:rFonts w:ascii="Tahoma" w:hAnsi="Tahoma" w:cs="Tahoma"/>
      <w:sz w:val="16"/>
      <w:szCs w:val="16"/>
    </w:rPr>
  </w:style>
  <w:style w:type="character" w:styleId="UnresolvedMention">
    <w:name w:val="Unresolved Mention"/>
    <w:basedOn w:val="DefaultParagraphFont"/>
    <w:uiPriority w:val="99"/>
    <w:semiHidden/>
    <w:unhideWhenUsed/>
    <w:rsid w:val="00B456B2"/>
    <w:rPr>
      <w:color w:val="605E5C"/>
      <w:shd w:val="clear" w:color="auto" w:fill="E1DFDD"/>
    </w:rPr>
  </w:style>
  <w:style w:type="numbering" w:customStyle="1" w:styleId="CurrentList1">
    <w:name w:val="Current List1"/>
    <w:uiPriority w:val="99"/>
    <w:rsid w:val="00531785"/>
    <w:pPr>
      <w:numPr>
        <w:numId w:val="8"/>
      </w:numPr>
    </w:pPr>
  </w:style>
  <w:style w:type="table" w:styleId="TableGrid">
    <w:name w:val="Table Grid"/>
    <w:basedOn w:val="TableNormal"/>
    <w:rsid w:val="00531785"/>
    <w:pPr>
      <w:suppressAutoHyphens/>
      <w:spacing w:after="160" w:line="1" w:lineRule="atLeast"/>
      <w:ind w:leftChars="-1" w:left="-1" w:hangingChars="1" w:hanging="1"/>
      <w:textDirection w:val="btLr"/>
      <w:textAlignment w:val="top"/>
      <w:outlineLvl w:val="0"/>
    </w:pPr>
    <w:rPr>
      <w:rFonts w:cs="Calibri"/>
      <w:position w:val="-1"/>
      <w:sz w:val="22"/>
      <w:szCs w:val="22"/>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092703215">
      <w:bodyDiv w:val="1"/>
      <w:marLeft w:val="0"/>
      <w:marRight w:val="0"/>
      <w:marTop w:val="0"/>
      <w:marBottom w:val="0"/>
      <w:divBdr>
        <w:top w:val="none" w:sz="0" w:space="0" w:color="auto"/>
        <w:left w:val="none" w:sz="0" w:space="0" w:color="auto"/>
        <w:bottom w:val="none" w:sz="0" w:space="0" w:color="auto"/>
        <w:right w:val="none" w:sz="0" w:space="0" w:color="auto"/>
      </w:divBdr>
      <w:divsChild>
        <w:div w:id="105929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reativecommons.org/licenses/by/4.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ranandaanugrah/Downloads/JIP%20Template%20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F2873-B48A-4FB4-8F94-5464B7BA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JIP Template 2026.dotx</Template>
  <TotalTime>49</TotalTime>
  <Pages>13</Pages>
  <Words>9130</Words>
  <Characters>52046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61054</CharactersWithSpaces>
  <SharedDoc>false</SharedDoc>
  <HLinks>
    <vt:vector size="18" baseType="variant">
      <vt:variant>
        <vt:i4>3801135</vt:i4>
      </vt:variant>
      <vt:variant>
        <vt:i4>0</vt:i4>
      </vt:variant>
      <vt:variant>
        <vt:i4>0</vt:i4>
      </vt:variant>
      <vt:variant>
        <vt:i4>5</vt:i4>
      </vt:variant>
      <vt:variant>
        <vt:lpwstr>http://creativecommons.org/licenses/by-sa/4.0/</vt:lpwstr>
      </vt:variant>
      <vt:variant>
        <vt:lpwstr/>
      </vt:variant>
      <vt:variant>
        <vt:i4>3801135</vt:i4>
      </vt:variant>
      <vt:variant>
        <vt:i4>-1</vt:i4>
      </vt:variant>
      <vt:variant>
        <vt:i4>1030</vt:i4>
      </vt:variant>
      <vt:variant>
        <vt:i4>4</vt:i4>
      </vt:variant>
      <vt:variant>
        <vt:lpwstr>http://creativecommons.org/licenses/by-sa/4.0/</vt:lpwstr>
      </vt:variant>
      <vt:variant>
        <vt:lpwstr/>
      </vt:variant>
      <vt:variant>
        <vt:i4>5832719</vt:i4>
      </vt:variant>
      <vt:variant>
        <vt:i4>-1</vt:i4>
      </vt:variant>
      <vt:variant>
        <vt:i4>1030</vt:i4>
      </vt:variant>
      <vt:variant>
        <vt:i4>1</vt:i4>
      </vt:variant>
      <vt:variant>
        <vt:lpwstr>https://licensebuttons.net/l/by-sa/3.0/88x31.png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dc:creator>
  <cp:keywords/>
  <dc:description/>
  <cp:lastModifiedBy>Review</cp:lastModifiedBy>
  <cp:revision>5</cp:revision>
  <dcterms:created xsi:type="dcterms:W3CDTF">2026-07-06T02:28:00Z</dcterms:created>
  <dcterms:modified xsi:type="dcterms:W3CDTF">2026-07-06T04:04:00Z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c189adcc-2e90-3985-9be3-95489c6c3775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e2e410e2-69f1-4e00-ac3a-e70e17005bcd</vt:lpwstr>
  </property>
</Properties>
</file>